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附件</w:t>
      </w:r>
    </w:p>
    <w:p>
      <w:pPr>
        <w:pStyle w:val="10"/>
        <w:keepNext w:val="0"/>
        <w:keepLines w:val="0"/>
        <w:pageBreakBefore w:val="0"/>
        <w:kinsoku/>
        <w:wordWrap/>
        <w:overflowPunct/>
        <w:topLinePunct w:val="0"/>
        <w:autoSpaceDE/>
        <w:autoSpaceDN/>
        <w:bidi w:val="0"/>
        <w:adjustRightInd/>
        <w:snapToGrid/>
        <w:spacing w:line="560" w:lineRule="exact"/>
        <w:textAlignment w:val="auto"/>
        <w:rPr>
          <w:rFonts w:hint="eastAsia"/>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海南自由贸易港外商投资条例</w:t>
      </w:r>
    </w:p>
    <w:p>
      <w:pPr>
        <w:pStyle w:val="1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（征求意见稿）</w:t>
      </w:r>
    </w:p>
    <w:p>
      <w:pPr>
        <w:pStyle w:val="10"/>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目录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第一章</w:t>
      </w:r>
      <w:r>
        <w:rPr>
          <w:rFonts w:hint="eastAsia" w:ascii="宋体" w:hAnsi="宋体" w:eastAsia="宋体" w:cs="宋体"/>
          <w:color w:val="auto"/>
          <w:sz w:val="32"/>
          <w:szCs w:val="32"/>
        </w:rPr>
        <w:t> </w:t>
      </w:r>
      <w:r>
        <w:rPr>
          <w:rFonts w:hint="eastAsia" w:ascii="黑体" w:hAnsi="黑体" w:eastAsia="黑体"/>
          <w:color w:val="auto"/>
          <w:sz w:val="32"/>
          <w:szCs w:val="32"/>
        </w:rPr>
        <w:t xml:space="preserve"> 总则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第二章</w:t>
      </w:r>
      <w:r>
        <w:rPr>
          <w:rFonts w:hint="eastAsia" w:ascii="宋体" w:hAnsi="宋体" w:eastAsia="宋体" w:cs="宋体"/>
          <w:color w:val="auto"/>
          <w:sz w:val="32"/>
          <w:szCs w:val="32"/>
        </w:rPr>
        <w:t> </w:t>
      </w:r>
      <w:r>
        <w:rPr>
          <w:rFonts w:hint="eastAsia" w:ascii="黑体" w:hAnsi="黑体" w:eastAsia="黑体"/>
          <w:color w:val="auto"/>
          <w:sz w:val="32"/>
          <w:szCs w:val="32"/>
        </w:rPr>
        <w:t xml:space="preserve"> 扩大开放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第三章</w:t>
      </w:r>
      <w:r>
        <w:rPr>
          <w:rFonts w:hint="eastAsia" w:ascii="宋体" w:hAnsi="宋体" w:eastAsia="宋体" w:cs="宋体"/>
          <w:color w:val="auto"/>
          <w:sz w:val="32"/>
          <w:szCs w:val="32"/>
        </w:rPr>
        <w:t> </w:t>
      </w:r>
      <w:r>
        <w:rPr>
          <w:rFonts w:hint="eastAsia" w:ascii="黑体" w:hAnsi="黑体" w:eastAsia="黑体"/>
          <w:color w:val="auto"/>
          <w:sz w:val="32"/>
          <w:szCs w:val="32"/>
        </w:rPr>
        <w:t xml:space="preserve"> 投资促进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第四章</w:t>
      </w:r>
      <w:r>
        <w:rPr>
          <w:rFonts w:hint="eastAsia" w:ascii="宋体" w:hAnsi="宋体" w:eastAsia="宋体" w:cs="宋体"/>
          <w:color w:val="auto"/>
          <w:sz w:val="32"/>
          <w:szCs w:val="32"/>
        </w:rPr>
        <w:t> </w:t>
      </w:r>
      <w:r>
        <w:rPr>
          <w:rFonts w:hint="eastAsia" w:ascii="黑体" w:hAnsi="黑体" w:eastAsia="黑体"/>
          <w:color w:val="auto"/>
          <w:sz w:val="32"/>
          <w:szCs w:val="32"/>
        </w:rPr>
        <w:t xml:space="preserve"> 投资保护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第五章</w:t>
      </w:r>
      <w:r>
        <w:rPr>
          <w:rFonts w:hint="eastAsia" w:ascii="宋体" w:hAnsi="宋体" w:eastAsia="宋体" w:cs="宋体"/>
          <w:color w:val="auto"/>
          <w:sz w:val="32"/>
          <w:szCs w:val="32"/>
        </w:rPr>
        <w:t> </w:t>
      </w:r>
      <w:r>
        <w:rPr>
          <w:rFonts w:hint="eastAsia" w:ascii="黑体" w:hAnsi="黑体" w:eastAsia="黑体"/>
          <w:color w:val="auto"/>
          <w:sz w:val="32"/>
          <w:szCs w:val="32"/>
        </w:rPr>
        <w:t xml:space="preserve"> 投资管理和服务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第六章</w:t>
      </w:r>
      <w:r>
        <w:rPr>
          <w:rFonts w:hint="eastAsia" w:ascii="宋体" w:hAnsi="宋体" w:eastAsia="宋体" w:cs="宋体"/>
          <w:color w:val="auto"/>
          <w:sz w:val="32"/>
          <w:szCs w:val="32"/>
        </w:rPr>
        <w:t> </w:t>
      </w:r>
      <w:r>
        <w:rPr>
          <w:rFonts w:hint="eastAsia" w:ascii="黑体" w:hAnsi="黑体" w:eastAsia="黑体"/>
          <w:color w:val="auto"/>
          <w:sz w:val="32"/>
          <w:szCs w:val="32"/>
        </w:rPr>
        <w:t xml:space="preserve"> 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第一章 总则</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一</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【立法目的】</w:t>
      </w:r>
      <w:r>
        <w:rPr>
          <w:rFonts w:hint="default" w:ascii="仿宋" w:hAnsi="仿宋" w:eastAsia="仿宋" w:cs="宋体"/>
          <w:color w:val="auto"/>
          <w:kern w:val="0"/>
          <w:sz w:val="32"/>
          <w:szCs w:val="32"/>
        </w:rPr>
        <w:t>为加快推进更高水平对外开放，促进外商投资，保护外商投资合法权益，规范外商投资管理，根据</w:t>
      </w:r>
      <w:r>
        <w:rPr>
          <w:rFonts w:hint="eastAsia" w:ascii="仿宋" w:hAnsi="仿宋" w:eastAsia="仿宋" w:cs="宋体"/>
          <w:color w:val="auto"/>
          <w:kern w:val="0"/>
          <w:sz w:val="32"/>
          <w:szCs w:val="32"/>
        </w:rPr>
        <w:t>《中华人民共和国外商投资法》《中华人民共和国外商投资法实施条例》</w:t>
      </w:r>
      <w:r>
        <w:rPr>
          <w:rFonts w:hint="default" w:ascii="仿宋" w:hAnsi="仿宋" w:eastAsia="仿宋" w:cs="宋体"/>
          <w:color w:val="auto"/>
          <w:kern w:val="0"/>
          <w:sz w:val="32"/>
          <w:szCs w:val="32"/>
        </w:rPr>
        <w:t>《中华人民共和国海南自由贸易港法》等法律、行政法规，结合海南自由贸易港实际，制定本条例。</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宋体"/>
          <w:color w:val="auto"/>
          <w:kern w:val="0"/>
          <w:sz w:val="32"/>
          <w:szCs w:val="32"/>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二</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【适用范围】</w:t>
      </w:r>
      <w:r>
        <w:rPr>
          <w:rFonts w:hint="eastAsia" w:ascii="仿宋" w:hAnsi="仿宋" w:eastAsia="仿宋" w:cs="宋体"/>
          <w:color w:val="auto"/>
          <w:kern w:val="0"/>
          <w:sz w:val="32"/>
          <w:szCs w:val="32"/>
        </w:rPr>
        <w:t>海南</w:t>
      </w:r>
      <w:r>
        <w:rPr>
          <w:rFonts w:ascii="仿宋" w:hAnsi="仿宋" w:eastAsia="仿宋" w:cs="宋体"/>
          <w:color w:val="auto"/>
          <w:kern w:val="0"/>
          <w:sz w:val="32"/>
          <w:szCs w:val="32"/>
        </w:rPr>
        <w:t>自由贸易港内的外商投资及其促进、保护、管理和服务等工作，适用本条例。</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三</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【基本原则】</w:t>
      </w:r>
      <w:r>
        <w:rPr>
          <w:rFonts w:hint="eastAsia" w:ascii="仿宋" w:hAnsi="仿宋" w:eastAsia="仿宋" w:cs="宋体"/>
          <w:color w:val="auto"/>
          <w:kern w:val="0"/>
          <w:sz w:val="32"/>
          <w:szCs w:val="32"/>
        </w:rPr>
        <w:t>海南自由贸易港实行投资自由化便利化政策，全面推行极简审批投资制度，完善投资促进和投资保护制度，</w:t>
      </w:r>
      <w:r>
        <w:rPr>
          <w:rFonts w:hint="eastAsia" w:ascii="仿宋" w:hAnsi="仿宋" w:eastAsia="仿宋" w:cs="宋体"/>
          <w:color w:val="auto"/>
          <w:kern w:val="0"/>
          <w:sz w:val="32"/>
          <w:szCs w:val="32"/>
          <w:lang w:eastAsia="zh-CN"/>
        </w:rPr>
        <w:t>建设国际⼀流营商环境，为外商投资</w:t>
      </w:r>
      <w:r>
        <w:rPr>
          <w:rFonts w:hint="eastAsia" w:ascii="仿宋" w:hAnsi="仿宋" w:eastAsia="仿宋" w:cs="宋体"/>
          <w:color w:val="auto"/>
          <w:kern w:val="0"/>
          <w:sz w:val="32"/>
          <w:szCs w:val="32"/>
        </w:rPr>
        <w:t>营造公开、透明、可预期的投资环境。</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宋体"/>
          <w:color w:val="auto"/>
          <w:kern w:val="0"/>
          <w:sz w:val="32"/>
          <w:szCs w:val="32"/>
        </w:rPr>
      </w:pPr>
      <w:r>
        <w:rPr>
          <w:rFonts w:hint="eastAsia" w:ascii="黑体" w:hAnsi="黑体" w:eastAsia="黑体" w:cs="宋体"/>
          <w:color w:val="auto"/>
          <w:kern w:val="0"/>
          <w:sz w:val="32"/>
          <w:szCs w:val="32"/>
        </w:rPr>
        <w:t>第四条</w:t>
      </w:r>
      <w:r>
        <w:rPr>
          <w:rFonts w:hint="eastAsia" w:ascii="仿宋" w:hAnsi="仿宋" w:eastAsia="仿宋" w:cs="黑体"/>
          <w:b/>
          <w:color w:val="auto"/>
          <w:kern w:val="0"/>
          <w:sz w:val="32"/>
          <w:szCs w:val="32"/>
        </w:rPr>
        <w:t>【基础制度】</w:t>
      </w:r>
      <w:r>
        <w:rPr>
          <w:rFonts w:hint="eastAsia" w:ascii="仿宋" w:hAnsi="仿宋" w:eastAsia="仿宋" w:cs="宋体"/>
          <w:color w:val="auto"/>
          <w:kern w:val="0"/>
          <w:sz w:val="32"/>
          <w:szCs w:val="32"/>
        </w:rPr>
        <w:t>海南自由贸易港全面落实外商投资准入前国民待遇加负面清单管理制度。</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hint="eastAsia" w:ascii="黑体" w:hAnsi="黑体" w:eastAsia="黑体" w:cs="宋体"/>
          <w:color w:val="auto"/>
          <w:kern w:val="0"/>
          <w:sz w:val="32"/>
          <w:szCs w:val="32"/>
        </w:rPr>
        <w:t>第五条</w:t>
      </w:r>
      <w:r>
        <w:rPr>
          <w:rFonts w:hint="eastAsia" w:ascii="仿宋" w:hAnsi="仿宋" w:eastAsia="仿宋" w:cs="黑体"/>
          <w:b/>
          <w:color w:val="auto"/>
          <w:kern w:val="0"/>
          <w:sz w:val="32"/>
          <w:szCs w:val="32"/>
        </w:rPr>
        <w:t>【工作职责】</w:t>
      </w:r>
      <w:r>
        <w:rPr>
          <w:rFonts w:hint="eastAsia" w:ascii="仿宋" w:hAnsi="仿宋" w:eastAsia="仿宋" w:cs="宋体"/>
          <w:color w:val="auto"/>
          <w:kern w:val="0"/>
          <w:sz w:val="32"/>
          <w:szCs w:val="32"/>
        </w:rPr>
        <w:t>县级以上人民政府应当加强对外商投资工作的组织领导，制定外商投资促进和便利化政策措施，及时协调、解决外商投资促进、保护和管理工作中的重大问题。</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商务主管部门、投资主管部门按照职责分工，负责外商投资促进、保护、管理和服务等工作。其他有关部门在各自职责范围内，负责外商投资相关工作。</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ascii="黑体" w:hAnsi="黑体" w:eastAsia="黑体"/>
          <w:color w:val="auto"/>
          <w:sz w:val="32"/>
          <w:szCs w:val="32"/>
        </w:rPr>
        <w:t>第二章</w:t>
      </w:r>
      <w:r>
        <w:rPr>
          <w:rFonts w:hint="eastAsia" w:ascii="黑体" w:hAnsi="黑体" w:eastAsia="黑体"/>
          <w:color w:val="auto"/>
          <w:sz w:val="32"/>
          <w:szCs w:val="32"/>
        </w:rPr>
        <w:t xml:space="preserve"> 扩大开放</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hint="eastAsia" w:ascii="黑体" w:hAnsi="黑体" w:eastAsia="黑体" w:cs="宋体"/>
          <w:color w:val="auto"/>
          <w:kern w:val="0"/>
          <w:sz w:val="32"/>
          <w:szCs w:val="32"/>
        </w:rPr>
        <w:t>第六条</w:t>
      </w:r>
      <w:r>
        <w:rPr>
          <w:rFonts w:hint="eastAsia" w:ascii="仿宋" w:hAnsi="仿宋" w:eastAsia="仿宋" w:cs="黑体"/>
          <w:b/>
          <w:color w:val="auto"/>
          <w:kern w:val="0"/>
          <w:sz w:val="32"/>
          <w:szCs w:val="32"/>
        </w:rPr>
        <w:t>【全面开放】</w:t>
      </w:r>
      <w:r>
        <w:rPr>
          <w:rFonts w:hint="eastAsia" w:ascii="仿宋" w:hAnsi="仿宋" w:eastAsia="仿宋" w:cs="宋体"/>
          <w:color w:val="auto"/>
          <w:kern w:val="0"/>
          <w:sz w:val="32"/>
          <w:szCs w:val="32"/>
        </w:rPr>
        <w:t>海南自由贸易港积极构建以自由、公平、法治、高水平过程监管为特征的高标准国际贸易投资规则，推动实现贸易自由便利、投资自由便利、跨境资金流动自由便利、人员进出自由便利、运输来往自由便利和数据安全有序流动，打造全面开放新高地。</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hint="eastAsia" w:ascii="黑体" w:hAnsi="黑体" w:eastAsia="黑体" w:cs="宋体"/>
          <w:color w:val="auto"/>
          <w:kern w:val="0"/>
          <w:sz w:val="32"/>
          <w:szCs w:val="32"/>
        </w:rPr>
        <w:t>第七条</w:t>
      </w:r>
      <w:r>
        <w:rPr>
          <w:rFonts w:hint="eastAsia" w:ascii="仿宋" w:hAnsi="仿宋" w:eastAsia="仿宋" w:cs="黑体"/>
          <w:b/>
          <w:color w:val="auto"/>
          <w:kern w:val="0"/>
          <w:sz w:val="32"/>
          <w:szCs w:val="32"/>
        </w:rPr>
        <w:t>【</w:t>
      </w:r>
      <w:r>
        <w:rPr>
          <w:rFonts w:hint="eastAsia" w:ascii="仿宋" w:hAnsi="仿宋" w:eastAsia="仿宋" w:cs="黑体"/>
          <w:b/>
          <w:color w:val="auto"/>
          <w:kern w:val="0"/>
          <w:sz w:val="32"/>
          <w:szCs w:val="32"/>
          <w:lang w:eastAsia="zh-CN"/>
        </w:rPr>
        <w:t>扩大外资市场准入</w:t>
      </w:r>
      <w:r>
        <w:rPr>
          <w:rFonts w:hint="eastAsia" w:ascii="仿宋" w:hAnsi="仿宋" w:eastAsia="仿宋" w:cs="黑体"/>
          <w:b/>
          <w:color w:val="auto"/>
          <w:kern w:val="0"/>
          <w:sz w:val="32"/>
          <w:szCs w:val="32"/>
        </w:rPr>
        <w:t>】</w:t>
      </w:r>
      <w:r>
        <w:rPr>
          <w:rFonts w:hint="eastAsia" w:ascii="仿宋" w:hAnsi="仿宋" w:eastAsia="仿宋" w:cs="宋体"/>
          <w:color w:val="auto"/>
          <w:kern w:val="0"/>
          <w:sz w:val="32"/>
          <w:szCs w:val="32"/>
        </w:rPr>
        <w:t>海南自由贸易港有序扩大外资市场准入，有序推进</w:t>
      </w:r>
      <w:r>
        <w:rPr>
          <w:rFonts w:hint="eastAsia" w:ascii="仿宋" w:hAnsi="仿宋" w:eastAsia="仿宋" w:cs="宋体"/>
          <w:color w:val="auto"/>
          <w:kern w:val="0"/>
          <w:sz w:val="32"/>
          <w:szCs w:val="32"/>
          <w:lang w:eastAsia="zh-CN"/>
        </w:rPr>
        <w:t>电信、</w:t>
      </w:r>
      <w:r>
        <w:rPr>
          <w:rFonts w:hint="eastAsia" w:ascii="仿宋" w:hAnsi="仿宋" w:eastAsia="仿宋" w:cs="宋体"/>
          <w:color w:val="auto"/>
          <w:kern w:val="0"/>
          <w:sz w:val="32"/>
          <w:szCs w:val="32"/>
        </w:rPr>
        <w:t>交通、医疗、农业、文化等领域扩大开放，为外商投资提供更加广阔的空间。</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lang w:eastAsia="zh-CN"/>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八</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w:t>
      </w:r>
      <w:r>
        <w:rPr>
          <w:rFonts w:hint="eastAsia" w:ascii="仿宋" w:hAnsi="仿宋" w:eastAsia="仿宋" w:cs="黑体"/>
          <w:b/>
          <w:color w:val="auto"/>
          <w:kern w:val="0"/>
          <w:sz w:val="32"/>
          <w:szCs w:val="32"/>
          <w:lang w:eastAsia="zh-CN"/>
        </w:rPr>
        <w:t>促进</w:t>
      </w:r>
      <w:r>
        <w:rPr>
          <w:rFonts w:hint="eastAsia" w:ascii="仿宋" w:hAnsi="仿宋" w:eastAsia="仿宋" w:cs="黑体"/>
          <w:b/>
          <w:color w:val="auto"/>
          <w:kern w:val="0"/>
          <w:sz w:val="32"/>
          <w:szCs w:val="32"/>
        </w:rPr>
        <w:t>数据跨境流动】</w:t>
      </w:r>
      <w:r>
        <w:rPr>
          <w:rFonts w:hint="eastAsia" w:ascii="仿宋" w:hAnsi="仿宋" w:eastAsia="仿宋" w:cs="宋体"/>
          <w:color w:val="auto"/>
          <w:kern w:val="0"/>
          <w:sz w:val="32"/>
          <w:szCs w:val="32"/>
          <w:lang w:eastAsia="zh-CN"/>
        </w:rPr>
        <w:t>海南自由贸易港依法建立安全有序的数据流动管理制度，依法保护个人、组织与数据有关的权益，有序扩大通信资源和业务开放，扩大数据领域开放，促进以数据为关键要素的数字经济发展。</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hint="eastAsia" w:ascii="黑体" w:hAnsi="黑体" w:eastAsia="黑体" w:cs="宋体"/>
          <w:color w:val="auto"/>
          <w:kern w:val="0"/>
          <w:sz w:val="32"/>
          <w:szCs w:val="32"/>
        </w:rPr>
        <w:t>第九条</w:t>
      </w:r>
      <w:r>
        <w:rPr>
          <w:rFonts w:hint="eastAsia" w:ascii="仿宋" w:hAnsi="仿宋" w:eastAsia="仿宋" w:cs="黑体"/>
          <w:b/>
          <w:color w:val="auto"/>
          <w:kern w:val="0"/>
          <w:sz w:val="32"/>
          <w:szCs w:val="32"/>
        </w:rPr>
        <w:t>【</w:t>
      </w:r>
      <w:r>
        <w:rPr>
          <w:rFonts w:hint="eastAsia" w:ascii="仿宋" w:hAnsi="仿宋" w:eastAsia="仿宋" w:cs="黑体"/>
          <w:b/>
          <w:color w:val="auto"/>
          <w:kern w:val="0"/>
          <w:sz w:val="32"/>
          <w:szCs w:val="32"/>
          <w:lang w:eastAsia="zh-CN"/>
        </w:rPr>
        <w:t>打造国际交流平台</w:t>
      </w:r>
      <w:r>
        <w:rPr>
          <w:rFonts w:hint="eastAsia" w:ascii="仿宋" w:hAnsi="仿宋" w:eastAsia="仿宋" w:cs="黑体"/>
          <w:b/>
          <w:color w:val="auto"/>
          <w:kern w:val="0"/>
          <w:sz w:val="32"/>
          <w:szCs w:val="32"/>
        </w:rPr>
        <w:t>】</w:t>
      </w:r>
      <w:r>
        <w:rPr>
          <w:rFonts w:hint="eastAsia" w:ascii="仿宋" w:hAnsi="仿宋" w:eastAsia="仿宋" w:cs="宋体"/>
          <w:color w:val="auto"/>
          <w:kern w:val="0"/>
          <w:sz w:val="32"/>
          <w:szCs w:val="32"/>
        </w:rPr>
        <w:t>办好</w:t>
      </w:r>
      <w:r>
        <w:rPr>
          <w:rFonts w:hint="eastAsia" w:ascii="仿宋" w:hAnsi="仿宋" w:eastAsia="仿宋" w:cs="宋体"/>
          <w:color w:val="auto"/>
          <w:kern w:val="0"/>
          <w:sz w:val="32"/>
          <w:szCs w:val="32"/>
          <w:lang w:eastAsia="zh-CN"/>
        </w:rPr>
        <w:t>中国</w:t>
      </w:r>
      <w:r>
        <w:rPr>
          <w:rFonts w:hint="eastAsia" w:ascii="仿宋" w:hAnsi="仿宋" w:eastAsia="仿宋" w:cs="宋体"/>
          <w:color w:val="auto"/>
          <w:kern w:val="0"/>
          <w:sz w:val="32"/>
          <w:szCs w:val="32"/>
        </w:rPr>
        <w:t>国际消费品博览会、中国（海南）国际热带农产品冬季交易会等大型展会，不断提升其吸引力和国际影响力，打造国际交流合作的平台、对外开放的窗口</w:t>
      </w:r>
      <w:r>
        <w:rPr>
          <w:rFonts w:hint="eastAsia" w:ascii="仿宋" w:hAnsi="仿宋" w:eastAsia="仿宋" w:cs="宋体"/>
          <w:color w:val="auto"/>
          <w:kern w:val="0"/>
          <w:sz w:val="32"/>
          <w:szCs w:val="32"/>
          <w:lang w:eastAsia="zh-CN"/>
        </w:rPr>
        <w:t>，通过</w:t>
      </w:r>
      <w:r>
        <w:rPr>
          <w:rFonts w:hint="eastAsia" w:ascii="仿宋" w:hAnsi="仿宋" w:eastAsia="仿宋" w:cs="宋体"/>
          <w:color w:val="auto"/>
          <w:kern w:val="0"/>
          <w:sz w:val="32"/>
          <w:szCs w:val="32"/>
        </w:rPr>
        <w:t>发挥大型展会的带动作用，吸引外商投资企业进驻海南自由贸易港。</w:t>
      </w:r>
      <w:bookmarkStart w:id="1" w:name="_GoBack"/>
      <w:bookmarkEnd w:id="1"/>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hint="eastAsia" w:ascii="黑体" w:hAnsi="黑体" w:eastAsia="黑体" w:cs="宋体"/>
          <w:color w:val="auto"/>
          <w:kern w:val="0"/>
          <w:sz w:val="32"/>
          <w:szCs w:val="32"/>
        </w:rPr>
        <w:t>第十条</w:t>
      </w:r>
      <w:r>
        <w:rPr>
          <w:rFonts w:hint="eastAsia" w:ascii="仿宋" w:hAnsi="仿宋" w:eastAsia="仿宋" w:cs="黑体"/>
          <w:b/>
          <w:color w:val="auto"/>
          <w:kern w:val="0"/>
          <w:sz w:val="32"/>
          <w:szCs w:val="32"/>
        </w:rPr>
        <w:t>【</w:t>
      </w:r>
      <w:r>
        <w:rPr>
          <w:rFonts w:hint="eastAsia" w:ascii="仿宋" w:hAnsi="仿宋" w:eastAsia="仿宋" w:cs="黑体"/>
          <w:b/>
          <w:color w:val="auto"/>
          <w:kern w:val="0"/>
          <w:sz w:val="32"/>
          <w:szCs w:val="32"/>
          <w:lang w:eastAsia="zh-CN"/>
        </w:rPr>
        <w:t>发挥园区示范作用</w:t>
      </w:r>
      <w:r>
        <w:rPr>
          <w:rFonts w:hint="eastAsia" w:ascii="仿宋" w:hAnsi="仿宋" w:eastAsia="仿宋" w:cs="黑体"/>
          <w:b/>
          <w:color w:val="auto"/>
          <w:kern w:val="0"/>
          <w:sz w:val="32"/>
          <w:szCs w:val="32"/>
        </w:rPr>
        <w:t>】</w:t>
      </w:r>
      <w:r>
        <w:rPr>
          <w:rFonts w:hint="eastAsia" w:ascii="仿宋" w:hAnsi="仿宋" w:eastAsia="仿宋" w:cs="宋体"/>
          <w:color w:val="auto"/>
          <w:kern w:val="0"/>
          <w:sz w:val="32"/>
          <w:szCs w:val="32"/>
          <w:lang w:eastAsia="zh-CN"/>
        </w:rPr>
        <w:t>发挥</w:t>
      </w:r>
      <w:r>
        <w:rPr>
          <w:rFonts w:hint="eastAsia" w:ascii="仿宋" w:hAnsi="仿宋" w:eastAsia="仿宋" w:cs="宋体"/>
          <w:color w:val="auto"/>
          <w:kern w:val="0"/>
          <w:sz w:val="32"/>
          <w:szCs w:val="32"/>
        </w:rPr>
        <w:t>海南自由贸易港重点园区对外开放</w:t>
      </w:r>
      <w:r>
        <w:rPr>
          <w:rFonts w:hint="eastAsia" w:ascii="仿宋" w:hAnsi="仿宋" w:eastAsia="仿宋" w:cs="宋体"/>
          <w:color w:val="auto"/>
          <w:kern w:val="0"/>
          <w:sz w:val="32"/>
          <w:szCs w:val="32"/>
          <w:lang w:eastAsia="zh-CN"/>
        </w:rPr>
        <w:t>和</w:t>
      </w:r>
      <w:r>
        <w:rPr>
          <w:rFonts w:hint="eastAsia" w:ascii="仿宋" w:hAnsi="仿宋" w:eastAsia="仿宋" w:cs="宋体"/>
          <w:color w:val="auto"/>
          <w:kern w:val="0"/>
          <w:sz w:val="32"/>
          <w:szCs w:val="32"/>
        </w:rPr>
        <w:t>吸引外资的示范引领作用，突出主导产业特色，</w:t>
      </w:r>
      <w:r>
        <w:rPr>
          <w:rFonts w:hint="eastAsia" w:ascii="仿宋" w:hAnsi="仿宋" w:eastAsia="仿宋" w:cs="宋体"/>
          <w:color w:val="auto"/>
          <w:kern w:val="0"/>
          <w:sz w:val="32"/>
          <w:szCs w:val="32"/>
          <w:lang w:eastAsia="zh-CN"/>
        </w:rPr>
        <w:t>加大吸引外商投资力度</w:t>
      </w:r>
      <w:r>
        <w:rPr>
          <w:rFonts w:hint="eastAsia" w:ascii="仿宋" w:hAnsi="仿宋" w:eastAsia="仿宋" w:cs="宋体"/>
          <w:strike w:val="0"/>
          <w:dstrike w:val="0"/>
          <w:color w:val="auto"/>
          <w:kern w:val="0"/>
          <w:sz w:val="32"/>
          <w:szCs w:val="32"/>
          <w:lang w:eastAsia="zh-CN"/>
        </w:rPr>
        <w:t>，</w:t>
      </w:r>
      <w:r>
        <w:rPr>
          <w:rFonts w:hint="eastAsia" w:ascii="仿宋" w:hAnsi="仿宋" w:eastAsia="仿宋" w:cs="宋体"/>
          <w:color w:val="auto"/>
          <w:kern w:val="0"/>
          <w:sz w:val="32"/>
          <w:szCs w:val="32"/>
        </w:rPr>
        <w:t>建设具有竞争力的高水平园区。</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宋体"/>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ascii="黑体" w:hAnsi="黑体" w:eastAsia="黑体"/>
          <w:color w:val="auto"/>
          <w:sz w:val="32"/>
          <w:szCs w:val="32"/>
        </w:rPr>
        <w:t>第三章</w:t>
      </w:r>
      <w:r>
        <w:rPr>
          <w:rFonts w:hint="eastAsia" w:ascii="黑体" w:hAnsi="黑体" w:eastAsia="黑体"/>
          <w:color w:val="auto"/>
          <w:sz w:val="32"/>
          <w:szCs w:val="32"/>
        </w:rPr>
        <w:t xml:space="preserve"> 投资促进</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hint="eastAsia" w:ascii="黑体" w:hAnsi="黑体" w:eastAsia="黑体" w:cs="宋体"/>
          <w:color w:val="auto"/>
          <w:kern w:val="0"/>
          <w:sz w:val="32"/>
          <w:szCs w:val="32"/>
        </w:rPr>
        <w:t>第十一条</w:t>
      </w:r>
      <w:r>
        <w:rPr>
          <w:rFonts w:hint="eastAsia" w:ascii="仿宋" w:hAnsi="仿宋" w:eastAsia="仿宋" w:cs="黑体"/>
          <w:b/>
          <w:color w:val="auto"/>
          <w:kern w:val="0"/>
          <w:sz w:val="32"/>
          <w:szCs w:val="32"/>
        </w:rPr>
        <w:t>【招商引资】</w:t>
      </w:r>
      <w:r>
        <w:rPr>
          <w:rFonts w:hint="eastAsia" w:ascii="仿宋" w:hAnsi="仿宋" w:eastAsia="仿宋" w:cs="宋体"/>
          <w:color w:val="auto"/>
          <w:kern w:val="0"/>
          <w:sz w:val="32"/>
          <w:szCs w:val="32"/>
        </w:rPr>
        <w:t>县级以上人民政府及园区应当建立专业化、市场化的招商机制，加大精准招商力度，结合区位优势和产业特点多渠道开展</w:t>
      </w:r>
      <w:r>
        <w:rPr>
          <w:rFonts w:hint="eastAsia" w:ascii="仿宋" w:hAnsi="仿宋" w:eastAsia="仿宋" w:cs="宋体"/>
          <w:color w:val="auto"/>
          <w:kern w:val="0"/>
          <w:sz w:val="32"/>
          <w:szCs w:val="32"/>
          <w:lang w:eastAsia="zh-CN"/>
        </w:rPr>
        <w:t>外商</w:t>
      </w:r>
      <w:r>
        <w:rPr>
          <w:rFonts w:hint="eastAsia" w:ascii="仿宋" w:hAnsi="仿宋" w:eastAsia="仿宋" w:cs="宋体"/>
          <w:color w:val="auto"/>
          <w:kern w:val="0"/>
          <w:sz w:val="32"/>
          <w:szCs w:val="32"/>
        </w:rPr>
        <w:t>投资促进活动。</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s="宋体"/>
          <w:color w:val="auto"/>
          <w:kern w:val="0"/>
          <w:sz w:val="32"/>
          <w:szCs w:val="32"/>
        </w:rPr>
      </w:pPr>
      <w:r>
        <w:rPr>
          <w:rFonts w:hint="eastAsia" w:ascii="黑体" w:hAnsi="黑体" w:eastAsia="黑体" w:cs="宋体"/>
          <w:color w:val="auto"/>
          <w:kern w:val="0"/>
          <w:sz w:val="32"/>
          <w:szCs w:val="32"/>
        </w:rPr>
        <w:t>第十</w:t>
      </w:r>
      <w:r>
        <w:rPr>
          <w:rFonts w:hint="eastAsia" w:ascii="黑体" w:hAnsi="黑体" w:eastAsia="黑体" w:cs="宋体"/>
          <w:color w:val="auto"/>
          <w:kern w:val="0"/>
          <w:sz w:val="32"/>
          <w:szCs w:val="32"/>
          <w:lang w:eastAsia="zh-CN"/>
        </w:rPr>
        <w:t>二</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w:t>
      </w:r>
      <w:r>
        <w:rPr>
          <w:rFonts w:hint="eastAsia" w:ascii="仿宋" w:hAnsi="仿宋" w:eastAsia="仿宋" w:cs="黑体"/>
          <w:b/>
          <w:color w:val="auto"/>
          <w:kern w:val="0"/>
          <w:sz w:val="32"/>
          <w:szCs w:val="32"/>
          <w:lang w:eastAsia="zh-CN"/>
        </w:rPr>
        <w:t>投资服务</w:t>
      </w:r>
      <w:r>
        <w:rPr>
          <w:rFonts w:hint="eastAsia" w:ascii="仿宋" w:hAnsi="仿宋" w:eastAsia="仿宋" w:cs="黑体"/>
          <w:b/>
          <w:color w:val="auto"/>
          <w:kern w:val="0"/>
          <w:sz w:val="32"/>
          <w:szCs w:val="32"/>
        </w:rPr>
        <w:t>】</w:t>
      </w:r>
      <w:r>
        <w:rPr>
          <w:rFonts w:hint="default" w:ascii="仿宋" w:hAnsi="仿宋" w:eastAsia="仿宋" w:cs="宋体"/>
          <w:color w:val="auto"/>
          <w:kern w:val="0"/>
          <w:sz w:val="32"/>
          <w:szCs w:val="32"/>
        </w:rPr>
        <w:t>商务主管部门</w:t>
      </w:r>
      <w:r>
        <w:rPr>
          <w:rFonts w:hint="eastAsia" w:ascii="仿宋" w:hAnsi="仿宋" w:eastAsia="仿宋" w:cs="宋体"/>
          <w:color w:val="auto"/>
          <w:kern w:val="0"/>
          <w:sz w:val="32"/>
          <w:szCs w:val="32"/>
          <w:lang w:eastAsia="zh-CN"/>
        </w:rPr>
        <w:t>等有关部门</w:t>
      </w:r>
      <w:r>
        <w:rPr>
          <w:rFonts w:hint="default" w:ascii="仿宋" w:hAnsi="仿宋" w:eastAsia="仿宋" w:cs="宋体"/>
          <w:color w:val="auto"/>
          <w:kern w:val="0"/>
          <w:sz w:val="32"/>
          <w:szCs w:val="32"/>
        </w:rPr>
        <w:t>应当编制并公布外商投资指南，为外国投资者、外商投资企业提供服务和便利。</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有关部门积极构建外资企业服务平台，为外商投资企业提供政策咨询、政务服务、专业服务、投资服务等“一站式”服务。</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营商主管部门完善海易办“国际化服务专区”，为外籍人士提供工作、生活、旅游、投资、留学等服务。</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hint="eastAsia" w:ascii="黑体" w:hAnsi="黑体" w:eastAsia="黑体" w:cs="宋体"/>
          <w:color w:val="auto"/>
          <w:kern w:val="0"/>
          <w:sz w:val="32"/>
          <w:szCs w:val="32"/>
        </w:rPr>
        <w:t>第十</w:t>
      </w:r>
      <w:r>
        <w:rPr>
          <w:rFonts w:hint="eastAsia" w:ascii="黑体" w:hAnsi="黑体" w:eastAsia="黑体" w:cs="宋体"/>
          <w:color w:val="auto"/>
          <w:kern w:val="0"/>
          <w:sz w:val="32"/>
          <w:szCs w:val="32"/>
          <w:lang w:eastAsia="zh-CN"/>
        </w:rPr>
        <w:t>三</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【政策优惠】</w:t>
      </w:r>
      <w:r>
        <w:rPr>
          <w:rFonts w:hint="default" w:ascii="仿宋" w:hAnsi="仿宋" w:eastAsia="仿宋" w:cs="宋体"/>
          <w:color w:val="auto"/>
          <w:kern w:val="0"/>
          <w:sz w:val="32"/>
          <w:szCs w:val="32"/>
        </w:rPr>
        <w:t>外商投资企业可按照规定享受</w:t>
      </w:r>
      <w:r>
        <w:rPr>
          <w:rFonts w:hint="eastAsia" w:ascii="仿宋" w:hAnsi="仿宋" w:eastAsia="仿宋" w:cs="宋体"/>
          <w:color w:val="auto"/>
          <w:kern w:val="0"/>
          <w:sz w:val="32"/>
          <w:szCs w:val="32"/>
          <w:lang w:eastAsia="zh-CN"/>
        </w:rPr>
        <w:t>海南自由贸易港</w:t>
      </w:r>
      <w:r>
        <w:rPr>
          <w:rFonts w:hint="default" w:ascii="仿宋" w:hAnsi="仿宋" w:eastAsia="仿宋" w:cs="宋体"/>
          <w:color w:val="auto"/>
          <w:kern w:val="0"/>
          <w:sz w:val="32"/>
          <w:szCs w:val="32"/>
        </w:rPr>
        <w:t>税收</w:t>
      </w:r>
      <w:r>
        <w:rPr>
          <w:rFonts w:hint="eastAsia" w:ascii="仿宋" w:hAnsi="仿宋" w:eastAsia="仿宋" w:cs="宋体"/>
          <w:color w:val="auto"/>
          <w:kern w:val="0"/>
          <w:sz w:val="32"/>
          <w:szCs w:val="32"/>
          <w:lang w:eastAsia="zh-CN"/>
        </w:rPr>
        <w:t>、投资自由便利</w:t>
      </w:r>
      <w:r>
        <w:rPr>
          <w:rFonts w:hint="default" w:ascii="仿宋" w:hAnsi="仿宋" w:eastAsia="仿宋" w:cs="宋体"/>
          <w:color w:val="auto"/>
          <w:kern w:val="0"/>
          <w:sz w:val="32"/>
          <w:szCs w:val="32"/>
        </w:rPr>
        <w:t>等优惠政策。</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lang w:eastAsia="zh-CN"/>
        </w:rPr>
      </w:pPr>
      <w:r>
        <w:rPr>
          <w:rFonts w:hint="eastAsia" w:ascii="黑体" w:hAnsi="黑体" w:eastAsia="黑体" w:cs="宋体"/>
          <w:color w:val="auto"/>
          <w:kern w:val="0"/>
          <w:sz w:val="32"/>
          <w:szCs w:val="32"/>
        </w:rPr>
        <w:t>第十</w:t>
      </w:r>
      <w:r>
        <w:rPr>
          <w:rFonts w:hint="eastAsia" w:ascii="黑体" w:hAnsi="黑体" w:eastAsia="黑体" w:cs="宋体"/>
          <w:color w:val="auto"/>
          <w:kern w:val="0"/>
          <w:sz w:val="32"/>
          <w:szCs w:val="32"/>
          <w:lang w:eastAsia="zh-CN"/>
        </w:rPr>
        <w:t>四</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【发展总部经济】</w:t>
      </w:r>
      <w:r>
        <w:rPr>
          <w:rFonts w:hint="default" w:ascii="仿宋" w:hAnsi="仿宋" w:eastAsia="仿宋" w:cs="宋体"/>
          <w:color w:val="auto"/>
          <w:kern w:val="0"/>
          <w:sz w:val="32"/>
          <w:szCs w:val="32"/>
          <w:lang w:eastAsia="zh-CN"/>
        </w:rPr>
        <w:t>支持发展总部经济，鼓励外国投资者在海南自由贸易港内设立子公司，依法依规申请认定跨国公司区域总部、大企业总部、综合型总部、功能型总部和高成长型总部等跨国公司地区总部和各类功能性机构。</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lang w:eastAsia="zh-CN"/>
        </w:rPr>
      </w:pPr>
      <w:r>
        <w:rPr>
          <w:rFonts w:hint="eastAsia" w:ascii="黑体" w:hAnsi="黑体" w:eastAsia="黑体" w:cs="宋体"/>
          <w:color w:val="auto"/>
          <w:kern w:val="0"/>
          <w:sz w:val="32"/>
          <w:szCs w:val="32"/>
        </w:rPr>
        <w:t>第十</w:t>
      </w:r>
      <w:r>
        <w:rPr>
          <w:rFonts w:hint="eastAsia" w:ascii="黑体" w:hAnsi="黑体" w:eastAsia="黑体" w:cs="宋体"/>
          <w:color w:val="auto"/>
          <w:kern w:val="0"/>
          <w:sz w:val="32"/>
          <w:szCs w:val="32"/>
          <w:lang w:eastAsia="zh-CN"/>
        </w:rPr>
        <w:t>五</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【鼓励研发】</w:t>
      </w:r>
      <w:r>
        <w:rPr>
          <w:rFonts w:hint="default" w:ascii="仿宋" w:hAnsi="仿宋" w:eastAsia="仿宋" w:cs="宋体"/>
          <w:color w:val="auto"/>
          <w:kern w:val="0"/>
          <w:sz w:val="32"/>
          <w:szCs w:val="32"/>
          <w:lang w:eastAsia="zh-CN"/>
        </w:rPr>
        <w:t>鼓励外国投资者在海南自由贸易港内设立外资研发中心。支持外商投资设立开放式创新平台类研发中心，加强土地、设备、基础设施等要素保障。鼓励普通高等院校、科研院所、职业学校与外资研发中心合作开展技术攻关并保护双方知识产权。鼓励金融机构为外资研发中心开展科技创新、从事基础和前沿研究提供金融支持。</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s="宋体"/>
          <w:color w:val="auto"/>
          <w:kern w:val="0"/>
          <w:sz w:val="32"/>
          <w:szCs w:val="32"/>
        </w:rPr>
      </w:pPr>
      <w:r>
        <w:rPr>
          <w:rFonts w:hint="eastAsia" w:ascii="黑体" w:hAnsi="黑体" w:eastAsia="黑体" w:cs="宋体"/>
          <w:color w:val="auto"/>
          <w:kern w:val="0"/>
          <w:sz w:val="32"/>
          <w:szCs w:val="32"/>
        </w:rPr>
        <w:t>第十</w:t>
      </w:r>
      <w:r>
        <w:rPr>
          <w:rFonts w:hint="eastAsia" w:ascii="黑体" w:hAnsi="黑体" w:eastAsia="黑体" w:cs="宋体"/>
          <w:color w:val="auto"/>
          <w:kern w:val="0"/>
          <w:sz w:val="32"/>
          <w:szCs w:val="32"/>
          <w:lang w:eastAsia="zh-CN"/>
        </w:rPr>
        <w:t>六</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w:t>
      </w:r>
      <w:r>
        <w:rPr>
          <w:rFonts w:hint="eastAsia" w:ascii="仿宋" w:hAnsi="仿宋" w:eastAsia="仿宋" w:cs="黑体"/>
          <w:b/>
          <w:color w:val="auto"/>
          <w:kern w:val="0"/>
          <w:sz w:val="32"/>
          <w:szCs w:val="32"/>
          <w:lang w:eastAsia="zh-CN"/>
        </w:rPr>
        <w:t>推动重点项目落地</w:t>
      </w:r>
      <w:r>
        <w:rPr>
          <w:rFonts w:hint="eastAsia" w:ascii="仿宋" w:hAnsi="仿宋" w:eastAsia="仿宋" w:cs="黑体"/>
          <w:b/>
          <w:color w:val="auto"/>
          <w:kern w:val="0"/>
          <w:sz w:val="32"/>
          <w:szCs w:val="32"/>
        </w:rPr>
        <w:t>】</w:t>
      </w:r>
      <w:r>
        <w:rPr>
          <w:rFonts w:hint="default" w:ascii="仿宋" w:hAnsi="仿宋" w:eastAsia="仿宋" w:cs="宋体"/>
          <w:color w:val="auto"/>
          <w:kern w:val="0"/>
          <w:sz w:val="32"/>
          <w:szCs w:val="32"/>
        </w:rPr>
        <w:t>鼓励围绕服务</w:t>
      </w:r>
      <w:r>
        <w:rPr>
          <w:rFonts w:hint="eastAsia" w:ascii="仿宋" w:hAnsi="仿宋" w:eastAsia="仿宋" w:cs="宋体"/>
          <w:color w:val="auto"/>
          <w:kern w:val="0"/>
          <w:sz w:val="32"/>
          <w:szCs w:val="32"/>
          <w:lang w:eastAsia="zh-CN"/>
        </w:rPr>
        <w:t>海南自由贸易港重点</w:t>
      </w:r>
      <w:r>
        <w:rPr>
          <w:rFonts w:hint="default" w:ascii="仿宋" w:hAnsi="仿宋" w:eastAsia="仿宋" w:cs="宋体"/>
          <w:color w:val="auto"/>
          <w:kern w:val="0"/>
          <w:sz w:val="32"/>
          <w:szCs w:val="32"/>
        </w:rPr>
        <w:t>产业发展引进重点外资项目。商务主管部门、投资主管部门应当会同有关部门建立健全重点外资项目服务制度，完善重</w:t>
      </w:r>
      <w:r>
        <w:rPr>
          <w:rFonts w:hint="eastAsia" w:ascii="仿宋" w:hAnsi="仿宋" w:eastAsia="仿宋" w:cs="宋体"/>
          <w:color w:val="auto"/>
          <w:kern w:val="0"/>
          <w:sz w:val="32"/>
          <w:szCs w:val="32"/>
          <w:lang w:eastAsia="zh-CN"/>
        </w:rPr>
        <w:t>点</w:t>
      </w:r>
      <w:r>
        <w:rPr>
          <w:rFonts w:hint="default" w:ascii="仿宋" w:hAnsi="仿宋" w:eastAsia="仿宋" w:cs="宋体"/>
          <w:color w:val="auto"/>
          <w:kern w:val="0"/>
          <w:sz w:val="32"/>
          <w:szCs w:val="32"/>
        </w:rPr>
        <w:t>外资项目跟踪服务机制，对重点外资项目建立绿色通道、提供全程服务。</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s="宋体"/>
          <w:color w:val="auto"/>
          <w:kern w:val="0"/>
          <w:sz w:val="32"/>
          <w:szCs w:val="32"/>
        </w:rPr>
      </w:pPr>
      <w:r>
        <w:rPr>
          <w:rFonts w:hint="eastAsia" w:ascii="黑体" w:hAnsi="黑体" w:eastAsia="黑体" w:cs="宋体"/>
          <w:color w:val="auto"/>
          <w:kern w:val="0"/>
          <w:sz w:val="32"/>
          <w:szCs w:val="32"/>
        </w:rPr>
        <w:t>第十</w:t>
      </w:r>
      <w:r>
        <w:rPr>
          <w:rFonts w:hint="eastAsia" w:ascii="黑体" w:hAnsi="黑体" w:eastAsia="黑体" w:cs="宋体"/>
          <w:color w:val="auto"/>
          <w:kern w:val="0"/>
          <w:sz w:val="32"/>
          <w:szCs w:val="32"/>
          <w:lang w:eastAsia="zh-CN"/>
        </w:rPr>
        <w:t>七</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【金融服务】</w:t>
      </w:r>
      <w:bookmarkStart w:id="0" w:name="_Hlk173323529"/>
      <w:r>
        <w:rPr>
          <w:rFonts w:hint="default" w:ascii="仿宋" w:hAnsi="仿宋" w:eastAsia="仿宋" w:cs="宋体"/>
          <w:color w:val="auto"/>
          <w:kern w:val="0"/>
          <w:sz w:val="32"/>
          <w:szCs w:val="32"/>
        </w:rPr>
        <w:t>鼓励金融机构为符合条件的外商投资企业提供优质金融服务和融资支持。鼓励金融机构在跨境资金流动自由便利、投融资汇兑便利化等方面</w:t>
      </w:r>
      <w:r>
        <w:rPr>
          <w:rFonts w:hint="eastAsia" w:ascii="仿宋" w:hAnsi="仿宋" w:eastAsia="仿宋" w:cs="宋体"/>
          <w:color w:val="auto"/>
          <w:kern w:val="0"/>
          <w:sz w:val="32"/>
          <w:szCs w:val="32"/>
          <w:lang w:eastAsia="zh-CN"/>
        </w:rPr>
        <w:t>实施</w:t>
      </w:r>
      <w:r>
        <w:rPr>
          <w:rFonts w:hint="default" w:ascii="仿宋" w:hAnsi="仿宋" w:eastAsia="仿宋" w:cs="宋体"/>
          <w:color w:val="auto"/>
          <w:kern w:val="0"/>
          <w:sz w:val="32"/>
          <w:szCs w:val="32"/>
        </w:rPr>
        <w:t>创新举措，为外商投资企业提供便利化服务。</w:t>
      </w:r>
    </w:p>
    <w:bookmarkEnd w:id="0"/>
    <w:p>
      <w:pPr>
        <w:pStyle w:val="2"/>
        <w:ind w:firstLine="640" w:firstLineChars="200"/>
        <w:rPr>
          <w:rFonts w:hint="eastAsia"/>
          <w:color w:val="auto"/>
          <w:lang w:val="en-US" w:eastAsia="zh-CN"/>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十八</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lang w:val="en-US" w:eastAsia="zh-CN" w:bidi="ar-SA"/>
        </w:rPr>
        <w:t>【践行ESG理念】</w:t>
      </w:r>
      <w:r>
        <w:rPr>
          <w:rFonts w:hint="eastAsia" w:ascii="仿宋_GB2312" w:hAnsi="仿宋_GB2312" w:eastAsia="仿宋_GB2312" w:cs="仿宋_GB2312"/>
          <w:color w:val="auto"/>
          <w:kern w:val="2"/>
          <w:sz w:val="32"/>
          <w:szCs w:val="32"/>
          <w:lang w:val="en-US" w:eastAsia="zh-CN" w:bidi="ar-SA"/>
        </w:rPr>
        <w:t>鼓励更多的外商投资企业自愿践行</w:t>
      </w:r>
      <w:r>
        <w:rPr>
          <w:rFonts w:hint="eastAsia" w:ascii="仿宋_GB2312" w:hAnsi="仿宋_GB2312" w:eastAsia="仿宋_GB2312" w:cs="仿宋_GB2312"/>
          <w:color w:val="auto"/>
          <w:sz w:val="32"/>
          <w:szCs w:val="32"/>
        </w:rPr>
        <w:t>环境、社会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治理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ESG</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理念，</w:t>
      </w:r>
      <w:r>
        <w:rPr>
          <w:rFonts w:hint="eastAsia" w:ascii="仿宋_GB2312" w:hAnsi="仿宋_GB2312" w:eastAsia="仿宋_GB2312" w:cs="仿宋_GB2312"/>
          <w:color w:val="auto"/>
          <w:sz w:val="32"/>
          <w:szCs w:val="32"/>
          <w:lang w:val="en-US" w:eastAsia="zh-CN"/>
        </w:rPr>
        <w:t>开展ESG信息披露，持续筑牢在海南自由贸易港可持续发展基础。</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第四章 投资保护</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s="宋体"/>
          <w:color w:val="auto"/>
          <w:kern w:val="0"/>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十九</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w:t>
      </w:r>
      <w:r>
        <w:rPr>
          <w:rFonts w:hint="eastAsia" w:ascii="仿宋" w:hAnsi="仿宋" w:eastAsia="仿宋" w:cs="黑体"/>
          <w:b/>
          <w:color w:val="auto"/>
          <w:kern w:val="0"/>
          <w:sz w:val="32"/>
          <w:szCs w:val="32"/>
          <w:lang w:eastAsia="zh-CN"/>
        </w:rPr>
        <w:t>权益</w:t>
      </w:r>
      <w:r>
        <w:rPr>
          <w:rFonts w:hint="eastAsia" w:ascii="仿宋" w:hAnsi="仿宋" w:eastAsia="仿宋" w:cs="黑体"/>
          <w:b/>
          <w:color w:val="auto"/>
          <w:kern w:val="0"/>
          <w:sz w:val="32"/>
          <w:szCs w:val="32"/>
        </w:rPr>
        <w:t>保护】</w:t>
      </w:r>
      <w:r>
        <w:rPr>
          <w:rFonts w:hint="default" w:ascii="仿宋" w:hAnsi="仿宋" w:eastAsia="仿宋" w:cs="宋体"/>
          <w:color w:val="auto"/>
          <w:kern w:val="0"/>
          <w:sz w:val="32"/>
          <w:szCs w:val="32"/>
        </w:rPr>
        <w:t>依法保护外国投资者在海南自由贸易港内的投资、收益和其他合法权益。</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宋体"/>
          <w:color w:val="auto"/>
          <w:kern w:val="0"/>
          <w:sz w:val="32"/>
          <w:szCs w:val="32"/>
        </w:rPr>
      </w:pPr>
      <w:r>
        <w:rPr>
          <w:rFonts w:hint="eastAsia" w:ascii="黑体" w:hAnsi="黑体" w:eastAsia="黑体" w:cs="宋体"/>
          <w:color w:val="auto"/>
          <w:kern w:val="0"/>
          <w:sz w:val="32"/>
          <w:szCs w:val="32"/>
        </w:rPr>
        <w:t>第二十条</w:t>
      </w:r>
      <w:r>
        <w:rPr>
          <w:rFonts w:hint="eastAsia" w:ascii="仿宋" w:hAnsi="仿宋" w:eastAsia="仿宋" w:cs="黑体"/>
          <w:b/>
          <w:color w:val="auto"/>
          <w:kern w:val="0"/>
          <w:sz w:val="32"/>
          <w:szCs w:val="32"/>
        </w:rPr>
        <w:t>【投资征收和补偿】</w:t>
      </w:r>
      <w:r>
        <w:rPr>
          <w:rFonts w:hint="eastAsia" w:ascii="仿宋" w:hAnsi="仿宋" w:eastAsia="仿宋" w:cs="宋体"/>
          <w:color w:val="auto"/>
          <w:kern w:val="0"/>
          <w:sz w:val="32"/>
          <w:szCs w:val="32"/>
        </w:rPr>
        <w:t>海南自由贸易港对外国投资者的投资不实行征收。在特殊情况下，为了公共利益的需要依照法律规定对外国投资者的投资实行征收的，应当依照法定程序、以非歧视性的方式进行，并按照被征收投资的市场价值及时给予补偿。</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外国投资者对征收决定不服的，可以依法申请行政复议或者提起行政诉讼。</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宋体"/>
          <w:i w:val="0"/>
          <w:caps w:val="0"/>
          <w:color w:val="auto"/>
          <w:spacing w:val="0"/>
          <w:kern w:val="0"/>
          <w:sz w:val="32"/>
          <w:szCs w:val="32"/>
          <w:shd w:val="clear" w:color="auto" w:fill="FFFFFF"/>
        </w:rPr>
      </w:pPr>
      <w:r>
        <w:rPr>
          <w:rFonts w:hint="eastAsia" w:ascii="黑体" w:hAnsi="黑体" w:eastAsia="黑体" w:cs="宋体"/>
          <w:color w:val="auto"/>
          <w:kern w:val="0"/>
          <w:sz w:val="32"/>
          <w:szCs w:val="32"/>
        </w:rPr>
        <w:t>第二十</w:t>
      </w:r>
      <w:r>
        <w:rPr>
          <w:rFonts w:hint="eastAsia" w:ascii="黑体" w:hAnsi="黑体" w:eastAsia="黑体" w:cs="宋体"/>
          <w:color w:val="auto"/>
          <w:kern w:val="0"/>
          <w:sz w:val="32"/>
          <w:szCs w:val="32"/>
          <w:lang w:eastAsia="zh-CN"/>
        </w:rPr>
        <w:t>一</w:t>
      </w:r>
      <w:r>
        <w:rPr>
          <w:rFonts w:hint="eastAsia" w:ascii="黑体" w:hAnsi="黑体" w:eastAsia="黑体" w:cs="宋体"/>
          <w:color w:val="auto"/>
          <w:kern w:val="0"/>
          <w:sz w:val="32"/>
          <w:szCs w:val="32"/>
        </w:rPr>
        <w:t>条</w:t>
      </w:r>
      <w:r>
        <w:rPr>
          <w:rFonts w:hint="default" w:ascii="黑体" w:hAnsi="黑体" w:eastAsia="黑体" w:cs="宋体"/>
          <w:color w:val="auto"/>
          <w:kern w:val="0"/>
          <w:sz w:val="32"/>
          <w:szCs w:val="32"/>
          <w:lang w:eastAsia="zh-CN"/>
        </w:rPr>
        <w:t>【</w:t>
      </w:r>
      <w:r>
        <w:rPr>
          <w:rFonts w:hint="eastAsia" w:ascii="仿宋" w:hAnsi="仿宋" w:eastAsia="仿宋" w:cs="黑体"/>
          <w:b/>
          <w:color w:val="auto"/>
          <w:kern w:val="0"/>
          <w:sz w:val="32"/>
          <w:szCs w:val="32"/>
          <w:lang w:eastAsia="zh-CN"/>
        </w:rPr>
        <w:t>自由汇入和汇出</w:t>
      </w:r>
      <w:r>
        <w:rPr>
          <w:rFonts w:hint="default" w:ascii="黑体" w:hAnsi="黑体" w:eastAsia="黑体" w:cs="宋体"/>
          <w:color w:val="auto"/>
          <w:kern w:val="0"/>
          <w:sz w:val="32"/>
          <w:szCs w:val="32"/>
          <w:lang w:eastAsia="zh-CN"/>
        </w:rPr>
        <w:t>】</w:t>
      </w:r>
      <w:r>
        <w:rPr>
          <w:rFonts w:hint="default" w:ascii="仿宋" w:hAnsi="仿宋" w:eastAsia="仿宋" w:cs="宋体"/>
          <w:i w:val="0"/>
          <w:caps w:val="0"/>
          <w:color w:val="auto"/>
          <w:spacing w:val="0"/>
          <w:kern w:val="0"/>
          <w:sz w:val="32"/>
          <w:szCs w:val="32"/>
          <w:shd w:val="clear" w:color="auto" w:fill="FFFFFF"/>
        </w:rPr>
        <w:t>外国投资者在</w:t>
      </w:r>
      <w:r>
        <w:rPr>
          <w:rFonts w:hint="eastAsia" w:ascii="仿宋" w:hAnsi="仿宋" w:eastAsia="仿宋" w:cs="宋体"/>
          <w:i w:val="0"/>
          <w:caps w:val="0"/>
          <w:color w:val="auto"/>
          <w:spacing w:val="0"/>
          <w:kern w:val="0"/>
          <w:sz w:val="32"/>
          <w:szCs w:val="32"/>
          <w:shd w:val="clear" w:color="auto" w:fill="FFFFFF"/>
          <w:lang w:eastAsia="zh-CN"/>
        </w:rPr>
        <w:t>海南自由贸易港内</w:t>
      </w:r>
      <w:r>
        <w:rPr>
          <w:rFonts w:hint="default" w:ascii="仿宋" w:hAnsi="仿宋" w:eastAsia="仿宋" w:cs="宋体"/>
          <w:i w:val="0"/>
          <w:caps w:val="0"/>
          <w:color w:val="auto"/>
          <w:spacing w:val="0"/>
          <w:kern w:val="0"/>
          <w:sz w:val="32"/>
          <w:szCs w:val="32"/>
          <w:shd w:val="clear" w:color="auto" w:fill="FFFFFF"/>
        </w:rPr>
        <w:t>的出资、利润、资本收益、资产处置所得、取得的知识产权许可使用费、依法获得的补偿或者赔偿、清算所得等，可以依法以人民币或者外汇自由汇入、汇出，任何单位和个人不得违法对币种、数额以及汇入、汇出的频次等进行限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宋体"/>
          <w:i w:val="0"/>
          <w:caps w:val="0"/>
          <w:color w:val="auto"/>
          <w:spacing w:val="0"/>
          <w:kern w:val="0"/>
          <w:sz w:val="32"/>
          <w:szCs w:val="32"/>
          <w:shd w:val="clear" w:color="auto" w:fill="FFFFFF"/>
          <w:lang w:eastAsia="zh-CN"/>
        </w:rPr>
      </w:pPr>
      <w:r>
        <w:rPr>
          <w:rFonts w:hint="default" w:ascii="仿宋" w:hAnsi="仿宋" w:eastAsia="仿宋" w:cs="宋体"/>
          <w:i w:val="0"/>
          <w:caps w:val="0"/>
          <w:color w:val="auto"/>
          <w:spacing w:val="0"/>
          <w:kern w:val="0"/>
          <w:sz w:val="32"/>
          <w:szCs w:val="32"/>
          <w:shd w:val="clear" w:color="auto" w:fill="FFFFFF"/>
        </w:rPr>
        <w:t>外商投资企业的外籍职工和香港、澳门、台湾职工的工资收入和其他合法收入，可以依法自由汇出。</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 w:hAnsi="仿宋" w:eastAsia="仿宋"/>
          <w:color w:val="auto"/>
          <w:sz w:val="32"/>
          <w:szCs w:val="32"/>
        </w:rPr>
      </w:pPr>
      <w:r>
        <w:rPr>
          <w:rFonts w:hint="eastAsia" w:ascii="黑体" w:hAnsi="黑体" w:eastAsia="黑体" w:cs="宋体"/>
          <w:color w:val="auto"/>
          <w:kern w:val="0"/>
          <w:sz w:val="32"/>
          <w:szCs w:val="32"/>
        </w:rPr>
        <w:t>第</w:t>
      </w:r>
      <w:r>
        <w:rPr>
          <w:rFonts w:ascii="黑体" w:hAnsi="黑体" w:eastAsia="黑体" w:cs="宋体"/>
          <w:color w:val="auto"/>
          <w:kern w:val="0"/>
          <w:sz w:val="32"/>
          <w:szCs w:val="32"/>
        </w:rPr>
        <w:t>二十</w:t>
      </w:r>
      <w:r>
        <w:rPr>
          <w:rFonts w:hint="eastAsia" w:ascii="黑体" w:hAnsi="黑体" w:eastAsia="黑体" w:cs="宋体"/>
          <w:color w:val="auto"/>
          <w:kern w:val="0"/>
          <w:sz w:val="32"/>
          <w:szCs w:val="32"/>
        </w:rPr>
        <w:t>二条</w:t>
      </w:r>
      <w:r>
        <w:rPr>
          <w:rFonts w:hint="eastAsia" w:ascii="仿宋" w:hAnsi="仿宋" w:eastAsia="仿宋" w:cs="黑体"/>
          <w:b/>
          <w:color w:val="auto"/>
          <w:kern w:val="0"/>
          <w:sz w:val="32"/>
          <w:szCs w:val="32"/>
        </w:rPr>
        <w:t>【知识产权保护】</w:t>
      </w:r>
      <w:r>
        <w:rPr>
          <w:rFonts w:hint="default" w:ascii="仿宋" w:hAnsi="仿宋" w:eastAsia="仿宋"/>
          <w:color w:val="auto"/>
          <w:sz w:val="32"/>
          <w:szCs w:val="32"/>
        </w:rPr>
        <w:t>依法平等保护外国投资者和外商投资企业的知识产权。建立健全知识产权领域信用分类监管、失信惩戒等机制，对知识产权侵权行为依法追究法律责任。</w:t>
      </w:r>
      <w:r>
        <w:rPr>
          <w:rFonts w:hint="eastAsia" w:ascii="仿宋" w:hAnsi="仿宋" w:eastAsia="仿宋"/>
          <w:color w:val="auto"/>
          <w:sz w:val="32"/>
          <w:szCs w:val="32"/>
          <w:lang w:eastAsia="zh-CN"/>
        </w:rPr>
        <w:t>海南自由贸易港各级</w:t>
      </w:r>
      <w:r>
        <w:rPr>
          <w:rFonts w:hint="default" w:ascii="仿宋" w:hAnsi="仿宋" w:eastAsia="仿宋"/>
          <w:color w:val="auto"/>
          <w:sz w:val="32"/>
          <w:szCs w:val="32"/>
        </w:rPr>
        <w:t>人民法院依法公正审理涉外知识产权案件，对于外国投资者、外商投资企业涉及知识产权的证据保全、行为保全申请，应当快速受理和审查，依法裁定并立即执行。</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rPr>
      </w:pPr>
      <w:r>
        <w:rPr>
          <w:rFonts w:hint="default" w:ascii="仿宋" w:hAnsi="仿宋" w:eastAsia="仿宋"/>
          <w:color w:val="auto"/>
          <w:sz w:val="32"/>
          <w:szCs w:val="32"/>
        </w:rPr>
        <w:t>完善知识产权评估评价体系，为外国投资者和外商投资企业提供公正、便捷的知识产权价值评估服务。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二十三</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【商业秘密保护】</w:t>
      </w:r>
      <w:r>
        <w:rPr>
          <w:rFonts w:hint="eastAsia" w:ascii="仿宋" w:hAnsi="仿宋" w:eastAsia="仿宋" w:cstheme="minorBidi"/>
          <w:color w:val="auto"/>
          <w:kern w:val="2"/>
          <w:sz w:val="32"/>
          <w:szCs w:val="32"/>
          <w:lang w:val="en-US" w:eastAsia="zh-CN" w:bidi="ar-SA"/>
        </w:rPr>
        <w:t>有关部门应当严格限定和控制依法履行职责所需知悉的信息范围，建立健全内部管理制度，采取有效措施严格保护履行职责过程中知悉的外国投资者、外商投资企业的商业秘密。依法需要与其他部门共享信息时，应当对其中的商业秘密进行保密处理，防止泄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二十四</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【公平竞争】</w:t>
      </w:r>
      <w:r>
        <w:rPr>
          <w:rFonts w:hint="eastAsia" w:ascii="仿宋" w:hAnsi="仿宋" w:eastAsia="仿宋" w:cstheme="minorBidi"/>
          <w:color w:val="auto"/>
          <w:kern w:val="2"/>
          <w:sz w:val="32"/>
          <w:szCs w:val="32"/>
          <w:lang w:val="en-US" w:eastAsia="zh-CN" w:bidi="ar-SA"/>
        </w:rPr>
        <w:t>建立统一开放、竞争有序的市场体系，强化竞争政策的基础性地位，落实公平竞争审查制度，加强和改进反垄断和反不正当竞争执法，清理和废除妨碍公平竞争的各种规定和做法。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外国投资者、外商投资企业在准入许可、经营运营、要素获取、标准制定、优惠政策等方面依法享受平等待遇。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黑体" w:hAnsi="黑体" w:eastAsia="黑体" w:cs="宋体"/>
          <w:color w:val="auto"/>
          <w:kern w:val="0"/>
          <w:sz w:val="32"/>
          <w:szCs w:val="32"/>
        </w:rPr>
        <w:t>第二</w:t>
      </w:r>
      <w:r>
        <w:rPr>
          <w:rFonts w:hint="eastAsia" w:ascii="黑体" w:hAnsi="黑体" w:eastAsia="黑体" w:cs="宋体"/>
          <w:color w:val="auto"/>
          <w:kern w:val="0"/>
          <w:sz w:val="32"/>
          <w:szCs w:val="32"/>
          <w:lang w:eastAsia="zh-CN"/>
        </w:rPr>
        <w:t>十五</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【政府采购】</w:t>
      </w:r>
      <w:r>
        <w:rPr>
          <w:rFonts w:hint="eastAsia" w:ascii="仿宋" w:hAnsi="仿宋" w:eastAsia="仿宋" w:cstheme="minorBidi"/>
          <w:color w:val="auto"/>
          <w:kern w:val="2"/>
          <w:sz w:val="32"/>
          <w:szCs w:val="32"/>
          <w:lang w:val="en-US" w:eastAsia="zh-CN" w:bidi="ar-SA"/>
        </w:rPr>
        <w:t>依法保障外商投资企业公平参与政府采购，推动政府采购领域与国际高标准经贸规则相通相容。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在政府采购信息发布、供应商资格条件确定和资格审查、评审标准等方面，不得对外商投资企业实行差别待遇或者歧视待遇，不得限定供应商的所有制形式、组织形式、股权结构或者投资者国别，以及产品或者服务品牌等，不得对外商投资企业在中国境内生产的产品、提供的服务和内资企业区别对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外商投资企业如认为政府采购活动使其权益受到损害，可依规提起质疑和投诉，财政部门应依法受理并公平处理。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黑体" w:hAnsi="黑体" w:eastAsia="黑体" w:cs="宋体"/>
          <w:color w:val="auto"/>
          <w:kern w:val="0"/>
          <w:sz w:val="32"/>
          <w:szCs w:val="32"/>
        </w:rPr>
        <w:t>第二十</w:t>
      </w:r>
      <w:r>
        <w:rPr>
          <w:rFonts w:hint="eastAsia" w:ascii="黑体" w:hAnsi="黑体" w:eastAsia="黑体" w:cs="宋体"/>
          <w:color w:val="auto"/>
          <w:kern w:val="0"/>
          <w:sz w:val="32"/>
          <w:szCs w:val="32"/>
          <w:lang w:eastAsia="zh-CN"/>
        </w:rPr>
        <w:t>六</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【法规制定】</w:t>
      </w:r>
      <w:r>
        <w:rPr>
          <w:rFonts w:hint="eastAsia" w:ascii="仿宋" w:hAnsi="仿宋" w:eastAsia="仿宋" w:cstheme="minorBidi"/>
          <w:color w:val="auto"/>
          <w:kern w:val="2"/>
          <w:sz w:val="32"/>
          <w:szCs w:val="32"/>
          <w:lang w:val="en-US" w:eastAsia="zh-CN" w:bidi="ar-SA"/>
        </w:rPr>
        <w:t>制定与外商投资有关的地方性法规、规章、规范性文件，起草部门应当充分听取外商投资企业的意见和建议，建立健全意见建议采纳情况反馈机制。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制定与外商投资企业生产经营活动密切相关的规范性文件，应当依法及时公布，并在施行前留出合理的适应调整期，但国家另有规定或者公布后不立即施行将有碍施行的除外。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黑体" w:hAnsi="黑体" w:eastAsia="黑体" w:cs="宋体"/>
          <w:color w:val="auto"/>
          <w:kern w:val="0"/>
          <w:sz w:val="32"/>
          <w:szCs w:val="32"/>
        </w:rPr>
        <w:t>第二十</w:t>
      </w:r>
      <w:r>
        <w:rPr>
          <w:rFonts w:hint="eastAsia" w:ascii="黑体" w:hAnsi="黑体" w:eastAsia="黑体" w:cs="宋体"/>
          <w:color w:val="auto"/>
          <w:kern w:val="0"/>
          <w:sz w:val="32"/>
          <w:szCs w:val="32"/>
          <w:lang w:eastAsia="zh-CN"/>
        </w:rPr>
        <w:t>七</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【标准制定】</w:t>
      </w:r>
      <w:r>
        <w:rPr>
          <w:rFonts w:hint="eastAsia" w:ascii="仿宋" w:hAnsi="仿宋" w:eastAsia="仿宋" w:cstheme="minorBidi"/>
          <w:color w:val="auto"/>
          <w:kern w:val="2"/>
          <w:sz w:val="32"/>
          <w:szCs w:val="32"/>
          <w:lang w:val="en-US" w:eastAsia="zh-CN" w:bidi="ar-SA"/>
        </w:rPr>
        <w:t>保障外商投资企业依法和内资企业平等参与地方标准的制定、修订工作。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制定与外商投资企业生产经营密切相关的地方标准，应当在标准立项、起草、技术审查以及标准实施信息反馈、评估等过程中听取外商投资企业意见，并可以根据需要提供标准征求意见稿的英文等其他语种译本或者摘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鼓励外商投资企业自行制定或者与其他企业联合制定高于推荐性标准相关技术要求和具有国际先进水平的企业标准。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lang w:val="en-US" w:eastAsia="zh-CN"/>
        </w:rPr>
      </w:pPr>
      <w:r>
        <w:rPr>
          <w:rFonts w:hint="eastAsia" w:ascii="仿宋" w:hAnsi="仿宋" w:eastAsia="仿宋" w:cstheme="minorBidi"/>
          <w:color w:val="auto"/>
          <w:kern w:val="2"/>
          <w:sz w:val="32"/>
          <w:szCs w:val="32"/>
          <w:lang w:val="en-US" w:eastAsia="zh-CN" w:bidi="ar-SA"/>
        </w:rPr>
        <w:t>不得利用标准以及地方标准指导性技术文件，实施妨碍外商投资企业参与公平竞争的行为。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黑体" w:hAnsi="黑体" w:eastAsia="黑体" w:cs="宋体"/>
          <w:color w:val="auto"/>
          <w:kern w:val="0"/>
          <w:sz w:val="32"/>
          <w:szCs w:val="32"/>
        </w:rPr>
        <w:t>第二十</w:t>
      </w:r>
      <w:r>
        <w:rPr>
          <w:rFonts w:hint="eastAsia" w:ascii="黑体" w:hAnsi="黑体" w:eastAsia="黑体" w:cs="宋体"/>
          <w:color w:val="auto"/>
          <w:kern w:val="0"/>
          <w:sz w:val="32"/>
          <w:szCs w:val="32"/>
          <w:lang w:eastAsia="zh-CN"/>
        </w:rPr>
        <w:t>八</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【投诉机制】</w:t>
      </w:r>
      <w:r>
        <w:rPr>
          <w:rFonts w:hint="eastAsia" w:ascii="仿宋" w:hAnsi="仿宋" w:eastAsia="仿宋" w:cstheme="minorBidi"/>
          <w:color w:val="auto"/>
          <w:kern w:val="2"/>
          <w:sz w:val="32"/>
          <w:szCs w:val="32"/>
          <w:lang w:val="en-US" w:eastAsia="zh-CN" w:bidi="ar-SA"/>
        </w:rPr>
        <w:t>按照公开透明、高效便利的原则，建立健全外商投资企业投诉工作机制，按照分级负责原则及时处理外商投资企业或者其投资者反映的问题。省商务主管部门负责协调、推动省级层面的外商投资企业投诉工作。各市县人民政府负责本区域内的外商投资企业投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外商投资企业或者其投资者认为行政机关及其工作人员的行政行为侵犯其合法权益的，可以依照国家关于外商投资企业投诉工作机制的规定申请协调解决，也可以依法申请行政复议、提起行政诉讼。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二十九</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lang w:val="en-US" w:eastAsia="zh-CN" w:bidi="ar-SA"/>
        </w:rPr>
        <w:t>【国际商事纠纷解决】</w:t>
      </w:r>
      <w:r>
        <w:rPr>
          <w:rFonts w:hint="eastAsia" w:ascii="仿宋" w:hAnsi="仿宋" w:eastAsia="仿宋" w:cstheme="minorBidi"/>
          <w:color w:val="auto"/>
          <w:kern w:val="2"/>
          <w:sz w:val="32"/>
          <w:szCs w:val="32"/>
          <w:lang w:val="en-US" w:eastAsia="zh-CN" w:bidi="ar-SA"/>
        </w:rPr>
        <w:t>建立“调解+仲裁+诉讼”相互衔接、有效配合的“一站式”国际商事纠纷多元化解决机制，为外商投资企业提供高效、便捷的纠纷解决途径。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借鉴国际商事仲裁惯例,依法完善与外商投资相适应的仲裁规则,提高商事纠纷仲裁的国际化程度。支持海南自由贸易港重点园区引进国际商事调解机构。</w:t>
      </w:r>
    </w:p>
    <w:p>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theme="minorBidi"/>
          <w:color w:val="auto"/>
          <w:kern w:val="2"/>
          <w:sz w:val="32"/>
          <w:szCs w:val="32"/>
          <w:lang w:val="en-US" w:eastAsia="zh-CN" w:bidi="ar-SA"/>
        </w:rPr>
      </w:pPr>
      <w:r>
        <w:rPr>
          <w:rFonts w:hint="eastAsia" w:ascii="黑体" w:hAnsi="黑体" w:eastAsia="黑体" w:cs="宋体"/>
          <w:color w:val="auto"/>
          <w:kern w:val="0"/>
          <w:sz w:val="32"/>
          <w:szCs w:val="32"/>
          <w:lang w:val="en-US" w:eastAsia="zh-CN" w:bidi="ar-SA"/>
        </w:rPr>
        <w:t>第三十条</w:t>
      </w:r>
      <w:r>
        <w:rPr>
          <w:rFonts w:hint="eastAsia" w:ascii="仿宋" w:hAnsi="仿宋" w:eastAsia="仿宋" w:cs="黑体"/>
          <w:b/>
          <w:color w:val="auto"/>
          <w:kern w:val="0"/>
          <w:sz w:val="32"/>
          <w:szCs w:val="32"/>
          <w:lang w:val="en-US" w:eastAsia="zh-CN" w:bidi="ar-SA"/>
        </w:rPr>
        <w:t>【商会、协会自愿原则】</w:t>
      </w:r>
      <w:r>
        <w:rPr>
          <w:rFonts w:hint="eastAsia" w:ascii="仿宋" w:hAnsi="仿宋" w:eastAsia="仿宋" w:cstheme="minorBidi"/>
          <w:color w:val="auto"/>
          <w:kern w:val="2"/>
          <w:sz w:val="32"/>
          <w:szCs w:val="32"/>
          <w:lang w:val="en-US" w:eastAsia="zh-CN" w:bidi="ar-SA"/>
        </w:rPr>
        <w:t>外商投资企业可以依法成立商会、协会，有权自主决定参加或者退出商会、协会，法律、法规另有规定的除外。</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第五章 投资管理和服务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三十</w:t>
      </w:r>
      <w:r>
        <w:rPr>
          <w:rFonts w:hint="eastAsia" w:ascii="黑体" w:hAnsi="黑体" w:eastAsia="黑体" w:cs="宋体"/>
          <w:color w:val="auto"/>
          <w:kern w:val="0"/>
          <w:sz w:val="32"/>
          <w:szCs w:val="32"/>
          <w:lang w:eastAsia="zh-CN"/>
        </w:rPr>
        <w:t>一</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【负面清单制度】</w:t>
      </w:r>
      <w:r>
        <w:rPr>
          <w:rFonts w:hint="eastAsia" w:ascii="仿宋" w:hAnsi="仿宋" w:eastAsia="仿宋" w:cstheme="minorBidi"/>
          <w:color w:val="auto"/>
          <w:kern w:val="2"/>
          <w:sz w:val="32"/>
          <w:szCs w:val="32"/>
          <w:lang w:val="en-US" w:eastAsia="zh-CN" w:bidi="ar-SA"/>
        </w:rPr>
        <w:t>海南自由贸易港外商投资准入负面清单规定禁止投资的领域，外国投资者不得投资；负面清单规定限制投资的领域，外国投资者进行投资应当符合负面清单规定的条件；负面清单以外的领域，按照内外资一致的原则实施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有关主管部门在依法办理企业登记注册、项目核准或者备案、行业许可等事项时，应当履行负面清单审核职责。对外国投资者拟投资负面清单内领域，但不符合负面清单规定的，不予办理许可、企业登记注册等相关事项；涉及固定资产投资项目核准的，不予办理相关核准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有关主管部门应对外商投资准入负面清单执行情况加强监督检查，对违法违规行为依法处理。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黑体" w:hAnsi="黑体" w:eastAsia="黑体" w:cs="宋体"/>
          <w:color w:val="auto"/>
          <w:kern w:val="0"/>
          <w:sz w:val="32"/>
          <w:szCs w:val="32"/>
        </w:rPr>
        <w:t>第三十</w:t>
      </w:r>
      <w:r>
        <w:rPr>
          <w:rFonts w:hint="eastAsia" w:ascii="黑体" w:hAnsi="黑体" w:eastAsia="黑体" w:cs="宋体"/>
          <w:color w:val="auto"/>
          <w:kern w:val="0"/>
          <w:sz w:val="32"/>
          <w:szCs w:val="32"/>
          <w:lang w:eastAsia="zh-CN"/>
        </w:rPr>
        <w:t>二</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【市场准入承诺即入制】</w:t>
      </w:r>
      <w:r>
        <w:rPr>
          <w:rFonts w:hint="eastAsia" w:ascii="仿宋" w:hAnsi="仿宋" w:eastAsia="仿宋" w:cstheme="minorBidi"/>
          <w:color w:val="auto"/>
          <w:kern w:val="2"/>
          <w:sz w:val="32"/>
          <w:szCs w:val="32"/>
          <w:lang w:val="en-US" w:eastAsia="zh-CN" w:bidi="ar-SA"/>
        </w:rPr>
        <w:t>按照内外资一致的原则，实施市场准入承诺即入制。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除涉及国家安全、社会稳定、生态保护红线、重大公共利益等国家实行准入管理的领域外，在具有强制性标准的领域，依法取消许可和审批，建立健全备案制度，外商投资企业书面承诺符合相关要求并提交相关材料进行备案，即可开展投资经营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实施市场准入承诺即入制的事项实行清单管理，依法动态调整，并向社会公布。</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theme="minorBidi"/>
          <w:color w:val="auto"/>
          <w:kern w:val="2"/>
          <w:sz w:val="32"/>
          <w:szCs w:val="32"/>
          <w:lang w:val="en-US" w:eastAsia="zh-CN" w:bidi="ar-SA"/>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三十</w:t>
      </w:r>
      <w:r>
        <w:rPr>
          <w:rFonts w:hint="eastAsia" w:ascii="黑体" w:hAnsi="黑体" w:eastAsia="黑体" w:cs="宋体"/>
          <w:color w:val="auto"/>
          <w:kern w:val="0"/>
          <w:sz w:val="32"/>
          <w:szCs w:val="32"/>
          <w:lang w:eastAsia="zh-CN"/>
        </w:rPr>
        <w:t>三</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w:t>
      </w:r>
      <w:r>
        <w:rPr>
          <w:rFonts w:hint="eastAsia" w:ascii="仿宋" w:hAnsi="仿宋" w:eastAsia="仿宋" w:cs="黑体"/>
          <w:b/>
          <w:color w:val="auto"/>
          <w:kern w:val="0"/>
          <w:sz w:val="32"/>
          <w:szCs w:val="32"/>
          <w:lang w:eastAsia="zh-CN"/>
        </w:rPr>
        <w:t>企业</w:t>
      </w:r>
      <w:r>
        <w:rPr>
          <w:rFonts w:hint="eastAsia" w:ascii="仿宋" w:hAnsi="仿宋" w:eastAsia="仿宋" w:cs="黑体"/>
          <w:b/>
          <w:color w:val="auto"/>
          <w:kern w:val="0"/>
          <w:sz w:val="32"/>
          <w:szCs w:val="32"/>
        </w:rPr>
        <w:t>登记注册】</w:t>
      </w:r>
      <w:r>
        <w:rPr>
          <w:rFonts w:hint="eastAsia" w:ascii="仿宋" w:hAnsi="仿宋" w:eastAsia="仿宋" w:cstheme="minorBidi"/>
          <w:color w:val="auto"/>
          <w:kern w:val="2"/>
          <w:sz w:val="32"/>
          <w:szCs w:val="32"/>
          <w:lang w:val="en-US" w:eastAsia="zh-CN" w:bidi="ar-SA"/>
        </w:rPr>
        <w:t>外商投资企业的登记注册，由市场监督管理部门依法办理。市场监督管理部门应持续提升外商投资企业设立登记服务效能和水平，便利外商投资。</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theme="minorBidi"/>
          <w:color w:val="auto"/>
          <w:kern w:val="2"/>
          <w:sz w:val="32"/>
          <w:szCs w:val="32"/>
          <w:lang w:val="en-US" w:eastAsia="zh-CN" w:bidi="ar-SA"/>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三十</w:t>
      </w:r>
      <w:r>
        <w:rPr>
          <w:rFonts w:hint="eastAsia" w:ascii="黑体" w:hAnsi="黑体" w:eastAsia="黑体" w:cs="宋体"/>
          <w:color w:val="auto"/>
          <w:kern w:val="0"/>
          <w:sz w:val="32"/>
          <w:szCs w:val="32"/>
          <w:lang w:eastAsia="zh-CN"/>
        </w:rPr>
        <w:t>四</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w:t>
      </w:r>
      <w:r>
        <w:rPr>
          <w:rFonts w:hint="eastAsia" w:ascii="仿宋" w:hAnsi="仿宋" w:eastAsia="仿宋" w:cs="黑体"/>
          <w:b/>
          <w:color w:val="auto"/>
          <w:kern w:val="0"/>
          <w:sz w:val="32"/>
          <w:szCs w:val="32"/>
          <w:lang w:eastAsia="zh-CN"/>
        </w:rPr>
        <w:t>项目</w:t>
      </w:r>
      <w:r>
        <w:rPr>
          <w:rFonts w:hint="eastAsia" w:ascii="仿宋" w:hAnsi="仿宋" w:eastAsia="仿宋" w:cs="黑体"/>
          <w:b/>
          <w:color w:val="auto"/>
          <w:kern w:val="0"/>
          <w:sz w:val="32"/>
          <w:szCs w:val="32"/>
        </w:rPr>
        <w:t>核准备案】</w:t>
      </w:r>
      <w:r>
        <w:rPr>
          <w:rFonts w:hint="eastAsia" w:ascii="仿宋" w:hAnsi="仿宋" w:eastAsia="仿宋" w:cstheme="minorBidi"/>
          <w:color w:val="auto"/>
          <w:kern w:val="2"/>
          <w:sz w:val="32"/>
          <w:szCs w:val="32"/>
          <w:lang w:val="en-US" w:eastAsia="zh-CN" w:bidi="ar-SA"/>
        </w:rPr>
        <w:t>外国投资者、外商投资企业在海南自由贸易港涉及固定资产投资的项目，应当按照国家和本省相关规定，在项目实施前向投资主管部门等有关部门申请办理外商投资项目核准或者备案。</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theme="minorBidi"/>
          <w:color w:val="auto"/>
          <w:kern w:val="2"/>
          <w:sz w:val="32"/>
          <w:szCs w:val="32"/>
          <w:lang w:val="en-US" w:eastAsia="zh-CN" w:bidi="ar-SA"/>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三十</w:t>
      </w:r>
      <w:r>
        <w:rPr>
          <w:rFonts w:hint="eastAsia" w:ascii="黑体" w:hAnsi="黑体" w:eastAsia="黑体" w:cs="宋体"/>
          <w:color w:val="auto"/>
          <w:kern w:val="0"/>
          <w:sz w:val="32"/>
          <w:szCs w:val="32"/>
          <w:lang w:eastAsia="zh-CN"/>
        </w:rPr>
        <w:t>五</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【信息报送】</w:t>
      </w:r>
      <w:r>
        <w:rPr>
          <w:rFonts w:hint="eastAsia" w:ascii="仿宋" w:hAnsi="仿宋" w:eastAsia="仿宋" w:cstheme="minorBidi"/>
          <w:color w:val="auto"/>
          <w:kern w:val="2"/>
          <w:sz w:val="32"/>
          <w:szCs w:val="32"/>
          <w:lang w:val="en-US" w:eastAsia="zh-CN" w:bidi="ar-SA"/>
        </w:rPr>
        <w:t>外国投资者、外商投资企业应当通过企业登记系统以及国家企业信用信息公示系统，定期向商务主管部门报送投资信息。商务主管部门应当为外国投资者、外商投资企业报送投资信息提供指导。</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外商投资信息报告的内容和范围按照确有必要的原则确定，能够通过部门共享获得的信息，不得再行要求报送。</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olor w:val="auto"/>
          <w:sz w:val="32"/>
          <w:szCs w:val="32"/>
        </w:rPr>
      </w:pPr>
      <w:r>
        <w:rPr>
          <w:rFonts w:hint="eastAsia" w:ascii="黑体" w:hAnsi="黑体" w:eastAsia="黑体" w:cs="宋体"/>
          <w:color w:val="auto"/>
          <w:kern w:val="0"/>
          <w:sz w:val="32"/>
          <w:szCs w:val="32"/>
        </w:rPr>
        <w:t>第三十</w:t>
      </w:r>
      <w:r>
        <w:rPr>
          <w:rFonts w:hint="eastAsia" w:ascii="黑体" w:hAnsi="黑体" w:eastAsia="黑体" w:cs="宋体"/>
          <w:color w:val="auto"/>
          <w:kern w:val="0"/>
          <w:sz w:val="32"/>
          <w:szCs w:val="32"/>
          <w:lang w:eastAsia="zh-CN"/>
        </w:rPr>
        <w:t>六</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【安全审查】</w:t>
      </w:r>
      <w:r>
        <w:rPr>
          <w:rFonts w:hint="eastAsia" w:ascii="仿宋" w:hAnsi="仿宋" w:eastAsia="仿宋"/>
          <w:color w:val="auto"/>
          <w:sz w:val="32"/>
          <w:szCs w:val="32"/>
        </w:rPr>
        <w:t>省、市县有关部门及园区</w:t>
      </w:r>
      <w:r>
        <w:rPr>
          <w:rFonts w:ascii="仿宋" w:hAnsi="仿宋" w:eastAsia="仿宋"/>
          <w:color w:val="auto"/>
          <w:sz w:val="32"/>
          <w:szCs w:val="32"/>
        </w:rPr>
        <w:t>应当按照国家外商投资安全审查制度和工作要求，配</w:t>
      </w:r>
      <w:r>
        <w:rPr>
          <w:rFonts w:ascii="仿宋" w:hAnsi="仿宋" w:eastAsia="仿宋"/>
          <w:strike w:val="0"/>
          <w:dstrike w:val="0"/>
          <w:color w:val="auto"/>
          <w:sz w:val="32"/>
          <w:szCs w:val="32"/>
        </w:rPr>
        <w:t>合国家</w:t>
      </w:r>
      <w:r>
        <w:rPr>
          <w:rFonts w:ascii="仿宋" w:hAnsi="仿宋" w:eastAsia="仿宋"/>
          <w:color w:val="auto"/>
          <w:sz w:val="32"/>
          <w:szCs w:val="32"/>
        </w:rPr>
        <w:t>开展相关工作。</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rPr>
      </w:pPr>
      <w:r>
        <w:rPr>
          <w:rFonts w:hint="eastAsia" w:ascii="黑体" w:hAnsi="黑体" w:eastAsia="黑体" w:cs="宋体"/>
          <w:color w:val="auto"/>
          <w:kern w:val="0"/>
          <w:sz w:val="32"/>
          <w:szCs w:val="32"/>
        </w:rPr>
        <w:t>第三十</w:t>
      </w:r>
      <w:r>
        <w:rPr>
          <w:rFonts w:hint="eastAsia" w:ascii="黑体" w:hAnsi="黑体" w:eastAsia="黑体" w:cs="宋体"/>
          <w:color w:val="auto"/>
          <w:kern w:val="0"/>
          <w:sz w:val="32"/>
          <w:szCs w:val="32"/>
          <w:lang w:eastAsia="zh-CN"/>
        </w:rPr>
        <w:t>七</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【出入境便利</w:t>
      </w:r>
      <w:r>
        <w:rPr>
          <w:rFonts w:hint="eastAsia" w:ascii="仿宋" w:hAnsi="仿宋" w:eastAsia="仿宋" w:cs="黑体"/>
          <w:b/>
          <w:color w:val="auto"/>
          <w:kern w:val="0"/>
          <w:sz w:val="32"/>
          <w:szCs w:val="32"/>
          <w:lang w:eastAsia="zh-CN"/>
        </w:rPr>
        <w:t>和居留政策</w:t>
      </w:r>
      <w:r>
        <w:rPr>
          <w:rFonts w:hint="eastAsia" w:ascii="仿宋" w:hAnsi="仿宋" w:eastAsia="仿宋" w:cs="黑体"/>
          <w:b/>
          <w:color w:val="auto"/>
          <w:kern w:val="0"/>
          <w:sz w:val="32"/>
          <w:szCs w:val="32"/>
        </w:rPr>
        <w:t>】</w:t>
      </w:r>
      <w:r>
        <w:rPr>
          <w:rFonts w:hint="eastAsia" w:ascii="仿宋" w:hAnsi="仿宋" w:eastAsia="仿宋"/>
          <w:color w:val="auto"/>
          <w:sz w:val="32"/>
          <w:szCs w:val="32"/>
        </w:rPr>
        <w:t>逐步实施更大范围适用免签入境政策，延长免签停留时间，优化出境入境检查管理，提供出境入境通关便利。</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rPr>
      </w:pPr>
      <w:r>
        <w:rPr>
          <w:rFonts w:hint="eastAsia" w:ascii="仿宋" w:hAnsi="仿宋" w:eastAsia="仿宋"/>
          <w:color w:val="auto"/>
          <w:sz w:val="32"/>
          <w:szCs w:val="32"/>
        </w:rPr>
        <w:t>实行更加开放的人才和停居留政策，实行更加宽松的人员临时出境入境政策、便利的工作签证政策，分阶段、分步骤对外国人工作许可实行负面清单管理</w:t>
      </w:r>
      <w:r>
        <w:rPr>
          <w:rFonts w:hint="eastAsia" w:ascii="仿宋" w:hAnsi="仿宋" w:eastAsia="仿宋"/>
          <w:color w:val="auto"/>
          <w:sz w:val="32"/>
          <w:szCs w:val="32"/>
          <w:lang w:eastAsia="zh-CN"/>
        </w:rPr>
        <w:t>，全面实施外国人工作许可证、工作类居留许可“一窗受理，同时发证”。</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rPr>
      </w:pPr>
      <w:r>
        <w:rPr>
          <w:rFonts w:hint="eastAsia" w:ascii="仿宋" w:hAnsi="仿宋" w:eastAsia="仿宋"/>
          <w:color w:val="auto"/>
          <w:sz w:val="32"/>
          <w:szCs w:val="32"/>
        </w:rPr>
        <w:t>完善外籍“高精尖缺”人才认定标准，针对“高精尖缺”人才实行更加开放的人才和停居留政策。</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rPr>
      </w:pPr>
      <w:r>
        <w:rPr>
          <w:rFonts w:hint="eastAsia" w:ascii="仿宋" w:hAnsi="仿宋" w:eastAsia="仿宋"/>
          <w:color w:val="auto"/>
          <w:sz w:val="32"/>
          <w:szCs w:val="32"/>
        </w:rPr>
        <w:t>允许外商投资企业内部调动专家的随行配偶和家属享有与该专家相同的入境和临时停留期限。对拟在海南自由贸易港筹建分公司或子公司的外国企业相关高级管理人员，放宽其临时入境停留有效期，且允许随行配偶和家属享有与其相同的入境和临时停留期限。</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三</w:t>
      </w: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eastAsia="zh-CN"/>
        </w:rPr>
        <w:t>八</w:t>
      </w:r>
      <w:r>
        <w:rPr>
          <w:rFonts w:ascii="黑体" w:hAnsi="黑体" w:eastAsia="黑体" w:cs="宋体"/>
          <w:color w:val="auto"/>
          <w:kern w:val="0"/>
          <w:sz w:val="32"/>
          <w:szCs w:val="32"/>
        </w:rPr>
        <w:t>条</w:t>
      </w:r>
      <w:r>
        <w:rPr>
          <w:rFonts w:hint="eastAsia" w:ascii="仿宋" w:hAnsi="仿宋" w:eastAsia="仿宋" w:cs="黑体"/>
          <w:b/>
          <w:color w:val="auto"/>
          <w:kern w:val="0"/>
          <w:sz w:val="32"/>
          <w:szCs w:val="32"/>
        </w:rPr>
        <w:t>【职业资格认定】</w:t>
      </w:r>
      <w:r>
        <w:rPr>
          <w:rFonts w:hint="eastAsia" w:ascii="仿宋" w:hAnsi="仿宋" w:eastAsia="仿宋"/>
          <w:color w:val="auto"/>
          <w:sz w:val="32"/>
          <w:szCs w:val="32"/>
        </w:rPr>
        <w:t>允许境外人员在海南自由贸易港参加</w:t>
      </w:r>
      <w:r>
        <w:rPr>
          <w:rFonts w:hint="eastAsia" w:ascii="仿宋" w:hAnsi="仿宋" w:eastAsia="仿宋"/>
          <w:color w:val="auto"/>
          <w:sz w:val="32"/>
          <w:szCs w:val="32"/>
          <w:lang w:val="en-US" w:eastAsia="zh-CN"/>
        </w:rPr>
        <w:t>《海南自由贸易港对境外人员开放职业资格考试目录清单》</w:t>
      </w:r>
      <w:r>
        <w:rPr>
          <w:rFonts w:hint="eastAsia" w:ascii="仿宋" w:hAnsi="仿宋" w:eastAsia="仿宋"/>
          <w:color w:val="auto"/>
          <w:sz w:val="32"/>
          <w:szCs w:val="32"/>
        </w:rPr>
        <w:t>内职业资格考试，对境外专业资格实行单向认可清单制度。</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rPr>
      </w:pPr>
      <w:r>
        <w:rPr>
          <w:rFonts w:hint="eastAsia" w:ascii="黑体" w:hAnsi="黑体" w:eastAsia="黑体" w:cs="宋体"/>
          <w:color w:val="auto"/>
          <w:kern w:val="0"/>
          <w:sz w:val="32"/>
          <w:szCs w:val="32"/>
        </w:rPr>
        <w:t>第</w:t>
      </w:r>
      <w:r>
        <w:rPr>
          <w:rFonts w:hint="eastAsia" w:ascii="黑体" w:hAnsi="黑体" w:eastAsia="黑体" w:cs="宋体"/>
          <w:color w:val="auto"/>
          <w:kern w:val="0"/>
          <w:sz w:val="32"/>
          <w:szCs w:val="32"/>
          <w:lang w:eastAsia="zh-CN"/>
        </w:rPr>
        <w:t>三十九</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【政企沟通】</w:t>
      </w:r>
      <w:r>
        <w:rPr>
          <w:rFonts w:hint="eastAsia" w:ascii="仿宋" w:hAnsi="仿宋" w:eastAsia="仿宋"/>
          <w:color w:val="auto"/>
          <w:sz w:val="32"/>
          <w:szCs w:val="32"/>
          <w:lang w:eastAsia="zh-CN"/>
        </w:rPr>
        <w:t>县级以上</w:t>
      </w:r>
      <w:r>
        <w:rPr>
          <w:rFonts w:hint="eastAsia" w:ascii="仿宋" w:hAnsi="仿宋" w:eastAsia="仿宋"/>
          <w:color w:val="auto"/>
          <w:sz w:val="32"/>
          <w:szCs w:val="32"/>
        </w:rPr>
        <w:t>人民政府及其有关部门应当建立健全与外商投资企业的政企沟通机制，广泛听取外商投资企业意见建议，及时了解并帮助企业解决生产经营中遇到的问题，研究完善相关政策措施。</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第六章 附则</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宋体"/>
          <w:color w:val="auto"/>
          <w:sz w:val="32"/>
          <w:szCs w:val="32"/>
        </w:rPr>
      </w:pPr>
      <w:r>
        <w:rPr>
          <w:rFonts w:hint="eastAsia" w:ascii="黑体" w:hAnsi="黑体" w:eastAsia="黑体" w:cs="宋体"/>
          <w:color w:val="auto"/>
          <w:kern w:val="0"/>
          <w:sz w:val="32"/>
          <w:szCs w:val="32"/>
        </w:rPr>
        <w:t>第四十条</w:t>
      </w:r>
      <w:r>
        <w:rPr>
          <w:rFonts w:hint="eastAsia" w:ascii="仿宋" w:hAnsi="仿宋" w:eastAsia="仿宋" w:cs="黑体"/>
          <w:b/>
          <w:color w:val="auto"/>
          <w:kern w:val="0"/>
          <w:sz w:val="32"/>
          <w:szCs w:val="32"/>
        </w:rPr>
        <w:t>【适用范围说明】</w:t>
      </w:r>
      <w:r>
        <w:rPr>
          <w:rFonts w:ascii="仿宋" w:hAnsi="仿宋" w:eastAsia="仿宋" w:cs="宋体"/>
          <w:color w:val="auto"/>
          <w:sz w:val="32"/>
          <w:szCs w:val="32"/>
        </w:rPr>
        <w:t>香港特别行政区、澳门特别行政区以及定居在国外的中国公民在</w:t>
      </w:r>
      <w:r>
        <w:rPr>
          <w:rFonts w:hint="eastAsia" w:ascii="仿宋" w:hAnsi="仿宋" w:eastAsia="仿宋" w:cs="宋体"/>
          <w:color w:val="auto"/>
          <w:sz w:val="32"/>
          <w:szCs w:val="32"/>
        </w:rPr>
        <w:t>海南自由贸易港</w:t>
      </w:r>
      <w:r>
        <w:rPr>
          <w:rFonts w:ascii="仿宋" w:hAnsi="仿宋" w:eastAsia="仿宋" w:cs="宋体"/>
          <w:color w:val="auto"/>
          <w:sz w:val="32"/>
          <w:szCs w:val="32"/>
        </w:rPr>
        <w:t>投资，参照本条例执行</w:t>
      </w:r>
      <w:r>
        <w:rPr>
          <w:rFonts w:hint="eastAsia" w:ascii="仿宋" w:hAnsi="仿宋" w:eastAsia="仿宋" w:cs="宋体"/>
          <w:color w:val="auto"/>
          <w:sz w:val="32"/>
          <w:szCs w:val="32"/>
          <w:lang w:eastAsia="zh-CN"/>
        </w:rPr>
        <w:t>；</w:t>
      </w:r>
      <w:r>
        <w:rPr>
          <w:rFonts w:ascii="仿宋" w:hAnsi="仿宋" w:eastAsia="仿宋" w:cs="宋体"/>
          <w:strike w:val="0"/>
          <w:dstrike w:val="0"/>
          <w:color w:val="auto"/>
          <w:sz w:val="32"/>
          <w:szCs w:val="32"/>
        </w:rPr>
        <w:t>法律、行政法规或者国务院另有规定的，从其规定。</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宋体"/>
          <w:color w:val="auto"/>
          <w:sz w:val="32"/>
          <w:szCs w:val="32"/>
        </w:rPr>
      </w:pPr>
      <w:r>
        <w:rPr>
          <w:rFonts w:ascii="仿宋" w:hAnsi="仿宋" w:eastAsia="仿宋" w:cs="宋体"/>
          <w:color w:val="auto"/>
          <w:sz w:val="32"/>
          <w:szCs w:val="32"/>
        </w:rPr>
        <w:t>台湾地区投资者在</w:t>
      </w:r>
      <w:r>
        <w:rPr>
          <w:rFonts w:hint="eastAsia" w:ascii="仿宋" w:hAnsi="仿宋" w:eastAsia="仿宋" w:cs="宋体"/>
          <w:color w:val="auto"/>
          <w:sz w:val="32"/>
          <w:szCs w:val="32"/>
        </w:rPr>
        <w:t>海南自由贸易港</w:t>
      </w:r>
      <w:r>
        <w:rPr>
          <w:rFonts w:ascii="仿宋" w:hAnsi="仿宋" w:eastAsia="仿宋" w:cs="宋体"/>
          <w:color w:val="auto"/>
          <w:sz w:val="32"/>
          <w:szCs w:val="32"/>
        </w:rPr>
        <w:t>投资，适用国家有关台湾同胞投资保护的法律、行政法规的规定；国家有关台湾同胞投资保护的法律、行政法规未规定的事项，参照本条例执行。</w:t>
      </w:r>
    </w:p>
    <w:p>
      <w:pPr>
        <w:pStyle w:val="15"/>
        <w:keepNext w:val="0"/>
        <w:keepLines w:val="0"/>
        <w:pageBreakBefore w:val="0"/>
        <w:kinsoku/>
        <w:wordWrap/>
        <w:overflowPunct/>
        <w:topLinePunct w:val="0"/>
        <w:autoSpaceDE/>
        <w:autoSpaceDN/>
        <w:bidi w:val="0"/>
        <w:adjustRightInd/>
        <w:snapToGrid/>
        <w:spacing w:line="560" w:lineRule="exact"/>
        <w:ind w:firstLine="640"/>
        <w:textAlignment w:val="auto"/>
        <w:rPr>
          <w:rFonts w:ascii="仿宋" w:hAnsi="仿宋" w:eastAsia="仿宋" w:cs="宋体"/>
          <w:color w:val="auto"/>
          <w:sz w:val="32"/>
          <w:szCs w:val="32"/>
        </w:rPr>
      </w:pPr>
      <w:r>
        <w:rPr>
          <w:rFonts w:hint="eastAsia" w:ascii="黑体" w:hAnsi="黑体" w:eastAsia="黑体" w:cs="宋体"/>
          <w:color w:val="auto"/>
          <w:kern w:val="0"/>
          <w:sz w:val="32"/>
          <w:szCs w:val="32"/>
        </w:rPr>
        <w:t>第四十</w:t>
      </w:r>
      <w:r>
        <w:rPr>
          <w:rFonts w:hint="eastAsia" w:ascii="黑体" w:hAnsi="黑体" w:eastAsia="黑体" w:cs="宋体"/>
          <w:color w:val="auto"/>
          <w:kern w:val="0"/>
          <w:sz w:val="32"/>
          <w:szCs w:val="32"/>
          <w:lang w:eastAsia="zh-CN"/>
        </w:rPr>
        <w:t>一</w:t>
      </w:r>
      <w:r>
        <w:rPr>
          <w:rFonts w:hint="eastAsia" w:ascii="黑体" w:hAnsi="黑体" w:eastAsia="黑体" w:cs="宋体"/>
          <w:color w:val="auto"/>
          <w:kern w:val="0"/>
          <w:sz w:val="32"/>
          <w:szCs w:val="32"/>
        </w:rPr>
        <w:t>条</w:t>
      </w:r>
      <w:r>
        <w:rPr>
          <w:rFonts w:hint="eastAsia" w:ascii="仿宋" w:hAnsi="仿宋" w:eastAsia="仿宋" w:cs="黑体"/>
          <w:b/>
          <w:color w:val="auto"/>
          <w:kern w:val="0"/>
          <w:sz w:val="32"/>
          <w:szCs w:val="32"/>
        </w:rPr>
        <w:t>【施行日期】</w:t>
      </w:r>
      <w:r>
        <w:rPr>
          <w:rFonts w:hint="eastAsia" w:ascii="仿宋" w:hAnsi="仿宋" w:eastAsia="仿宋" w:cs="宋体"/>
          <w:color w:val="auto"/>
          <w:sz w:val="32"/>
          <w:szCs w:val="32"/>
        </w:rPr>
        <w:t>本条例自   年   月   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726559"/>
    </w:sdtPr>
    <w:sdtEndPr>
      <w:rPr>
        <w:rFonts w:ascii="Times New Roman" w:hAnsi="Times New Roman" w:cs="Times New Roman"/>
        <w:sz w:val="21"/>
        <w:szCs w:val="21"/>
      </w:rPr>
    </w:sdtEndPr>
    <w:sdtContent>
      <w:p>
        <w:pPr>
          <w:pStyle w:val="7"/>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10</w:t>
        </w:r>
        <w:r>
          <w:rPr>
            <w:rFonts w:ascii="Times New Roman" w:hAnsi="Times New Roman" w:cs="Times New Roman"/>
            <w:sz w:val="21"/>
            <w:szCs w:val="21"/>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A4"/>
    <w:rsid w:val="00005A68"/>
    <w:rsid w:val="00011E0C"/>
    <w:rsid w:val="00025BD8"/>
    <w:rsid w:val="00051197"/>
    <w:rsid w:val="00076FB3"/>
    <w:rsid w:val="00090249"/>
    <w:rsid w:val="00097425"/>
    <w:rsid w:val="000B2675"/>
    <w:rsid w:val="000C2C21"/>
    <w:rsid w:val="000D0E1E"/>
    <w:rsid w:val="000D5288"/>
    <w:rsid w:val="000D71C7"/>
    <w:rsid w:val="000E6C61"/>
    <w:rsid w:val="000F7C84"/>
    <w:rsid w:val="000F7EFA"/>
    <w:rsid w:val="00106930"/>
    <w:rsid w:val="00107C18"/>
    <w:rsid w:val="00111B06"/>
    <w:rsid w:val="00113F29"/>
    <w:rsid w:val="001570B1"/>
    <w:rsid w:val="00165C35"/>
    <w:rsid w:val="00186C63"/>
    <w:rsid w:val="0019604F"/>
    <w:rsid w:val="00196ED0"/>
    <w:rsid w:val="001A13BD"/>
    <w:rsid w:val="001C147C"/>
    <w:rsid w:val="001E10EA"/>
    <w:rsid w:val="00230630"/>
    <w:rsid w:val="0023121F"/>
    <w:rsid w:val="00236411"/>
    <w:rsid w:val="00242427"/>
    <w:rsid w:val="002442E6"/>
    <w:rsid w:val="00247D83"/>
    <w:rsid w:val="00254FD3"/>
    <w:rsid w:val="00255922"/>
    <w:rsid w:val="002628F6"/>
    <w:rsid w:val="002632B3"/>
    <w:rsid w:val="0027325C"/>
    <w:rsid w:val="002733ED"/>
    <w:rsid w:val="0029505E"/>
    <w:rsid w:val="002A00A4"/>
    <w:rsid w:val="002A18AA"/>
    <w:rsid w:val="002A73FB"/>
    <w:rsid w:val="002B0D0A"/>
    <w:rsid w:val="002C1E2C"/>
    <w:rsid w:val="002C5A90"/>
    <w:rsid w:val="002C7E4E"/>
    <w:rsid w:val="002D64E3"/>
    <w:rsid w:val="002D676A"/>
    <w:rsid w:val="002E7A0D"/>
    <w:rsid w:val="002F11FD"/>
    <w:rsid w:val="002F7B17"/>
    <w:rsid w:val="00310119"/>
    <w:rsid w:val="00317C95"/>
    <w:rsid w:val="00317E39"/>
    <w:rsid w:val="00324221"/>
    <w:rsid w:val="00326C28"/>
    <w:rsid w:val="00327441"/>
    <w:rsid w:val="00334520"/>
    <w:rsid w:val="003350CE"/>
    <w:rsid w:val="00356F81"/>
    <w:rsid w:val="00360414"/>
    <w:rsid w:val="00382586"/>
    <w:rsid w:val="00385277"/>
    <w:rsid w:val="0039625F"/>
    <w:rsid w:val="003963CC"/>
    <w:rsid w:val="003B7C8F"/>
    <w:rsid w:val="003C3359"/>
    <w:rsid w:val="003D2806"/>
    <w:rsid w:val="003D45FE"/>
    <w:rsid w:val="003E4760"/>
    <w:rsid w:val="00421DF7"/>
    <w:rsid w:val="00435B54"/>
    <w:rsid w:val="004469F9"/>
    <w:rsid w:val="00447129"/>
    <w:rsid w:val="00451983"/>
    <w:rsid w:val="0046716D"/>
    <w:rsid w:val="00471BB0"/>
    <w:rsid w:val="00481C0F"/>
    <w:rsid w:val="00485319"/>
    <w:rsid w:val="00491C85"/>
    <w:rsid w:val="004955B3"/>
    <w:rsid w:val="00496CB4"/>
    <w:rsid w:val="004B5CFA"/>
    <w:rsid w:val="004B7AFE"/>
    <w:rsid w:val="004E0EB2"/>
    <w:rsid w:val="004E119A"/>
    <w:rsid w:val="0050310D"/>
    <w:rsid w:val="00507175"/>
    <w:rsid w:val="00522135"/>
    <w:rsid w:val="00541F0E"/>
    <w:rsid w:val="00546355"/>
    <w:rsid w:val="0055056D"/>
    <w:rsid w:val="00551180"/>
    <w:rsid w:val="00566160"/>
    <w:rsid w:val="00570A1A"/>
    <w:rsid w:val="005742CF"/>
    <w:rsid w:val="00575D33"/>
    <w:rsid w:val="005A5332"/>
    <w:rsid w:val="005B7073"/>
    <w:rsid w:val="005B7628"/>
    <w:rsid w:val="005E35F7"/>
    <w:rsid w:val="005E6878"/>
    <w:rsid w:val="005F741A"/>
    <w:rsid w:val="00604EA8"/>
    <w:rsid w:val="006113F5"/>
    <w:rsid w:val="006144ED"/>
    <w:rsid w:val="00622D98"/>
    <w:rsid w:val="0062636A"/>
    <w:rsid w:val="00635794"/>
    <w:rsid w:val="00637560"/>
    <w:rsid w:val="00637C88"/>
    <w:rsid w:val="006403B3"/>
    <w:rsid w:val="006503AE"/>
    <w:rsid w:val="00671F44"/>
    <w:rsid w:val="00674146"/>
    <w:rsid w:val="006840B6"/>
    <w:rsid w:val="0068505C"/>
    <w:rsid w:val="006C346E"/>
    <w:rsid w:val="006C7EA0"/>
    <w:rsid w:val="006D3161"/>
    <w:rsid w:val="006D67D9"/>
    <w:rsid w:val="006E5487"/>
    <w:rsid w:val="00707DCF"/>
    <w:rsid w:val="007169AB"/>
    <w:rsid w:val="00722D1B"/>
    <w:rsid w:val="0074742F"/>
    <w:rsid w:val="00751E00"/>
    <w:rsid w:val="007537C4"/>
    <w:rsid w:val="00763ED5"/>
    <w:rsid w:val="00771514"/>
    <w:rsid w:val="0077171C"/>
    <w:rsid w:val="00771E28"/>
    <w:rsid w:val="007848DD"/>
    <w:rsid w:val="007948AA"/>
    <w:rsid w:val="007A714D"/>
    <w:rsid w:val="007B6C57"/>
    <w:rsid w:val="007C204A"/>
    <w:rsid w:val="007C2DFF"/>
    <w:rsid w:val="007D1A4F"/>
    <w:rsid w:val="007E7B75"/>
    <w:rsid w:val="007F7C53"/>
    <w:rsid w:val="00804A17"/>
    <w:rsid w:val="00811E18"/>
    <w:rsid w:val="00812C13"/>
    <w:rsid w:val="00876E36"/>
    <w:rsid w:val="00890A09"/>
    <w:rsid w:val="0089171D"/>
    <w:rsid w:val="008B3A7F"/>
    <w:rsid w:val="008E1C33"/>
    <w:rsid w:val="00927C67"/>
    <w:rsid w:val="00931027"/>
    <w:rsid w:val="0094537C"/>
    <w:rsid w:val="00970F9A"/>
    <w:rsid w:val="00972470"/>
    <w:rsid w:val="0097619F"/>
    <w:rsid w:val="00980950"/>
    <w:rsid w:val="00983C44"/>
    <w:rsid w:val="009974CE"/>
    <w:rsid w:val="009A6683"/>
    <w:rsid w:val="009B4CEF"/>
    <w:rsid w:val="009C3C83"/>
    <w:rsid w:val="009C6B86"/>
    <w:rsid w:val="009D6419"/>
    <w:rsid w:val="009F2FA3"/>
    <w:rsid w:val="00A0181F"/>
    <w:rsid w:val="00A1643C"/>
    <w:rsid w:val="00A33C56"/>
    <w:rsid w:val="00A45FCF"/>
    <w:rsid w:val="00A54898"/>
    <w:rsid w:val="00A56DFE"/>
    <w:rsid w:val="00A57B20"/>
    <w:rsid w:val="00A923D2"/>
    <w:rsid w:val="00AD3E26"/>
    <w:rsid w:val="00AD717E"/>
    <w:rsid w:val="00AE2065"/>
    <w:rsid w:val="00AE5A1A"/>
    <w:rsid w:val="00AE729B"/>
    <w:rsid w:val="00AF1442"/>
    <w:rsid w:val="00B034EA"/>
    <w:rsid w:val="00B15664"/>
    <w:rsid w:val="00B230D1"/>
    <w:rsid w:val="00B331DB"/>
    <w:rsid w:val="00B3654C"/>
    <w:rsid w:val="00B374A7"/>
    <w:rsid w:val="00B4440E"/>
    <w:rsid w:val="00B56ED9"/>
    <w:rsid w:val="00B76A6D"/>
    <w:rsid w:val="00B82DBA"/>
    <w:rsid w:val="00B85AA7"/>
    <w:rsid w:val="00B922B5"/>
    <w:rsid w:val="00B92ACB"/>
    <w:rsid w:val="00BA5910"/>
    <w:rsid w:val="00BA635C"/>
    <w:rsid w:val="00BB6CD3"/>
    <w:rsid w:val="00BC0BC5"/>
    <w:rsid w:val="00BC2052"/>
    <w:rsid w:val="00BC2D2C"/>
    <w:rsid w:val="00BC76C6"/>
    <w:rsid w:val="00BF71FF"/>
    <w:rsid w:val="00C029DE"/>
    <w:rsid w:val="00C24968"/>
    <w:rsid w:val="00C2725E"/>
    <w:rsid w:val="00C51AD3"/>
    <w:rsid w:val="00C52F81"/>
    <w:rsid w:val="00C57F4C"/>
    <w:rsid w:val="00C67E2B"/>
    <w:rsid w:val="00C92BD1"/>
    <w:rsid w:val="00CA6C78"/>
    <w:rsid w:val="00CB5628"/>
    <w:rsid w:val="00CB7954"/>
    <w:rsid w:val="00CF1347"/>
    <w:rsid w:val="00D03E7B"/>
    <w:rsid w:val="00D05E48"/>
    <w:rsid w:val="00D30372"/>
    <w:rsid w:val="00D333D2"/>
    <w:rsid w:val="00D53E38"/>
    <w:rsid w:val="00DA35B4"/>
    <w:rsid w:val="00DE2D12"/>
    <w:rsid w:val="00DE2F53"/>
    <w:rsid w:val="00DF017A"/>
    <w:rsid w:val="00E205EA"/>
    <w:rsid w:val="00E239D2"/>
    <w:rsid w:val="00E26DCC"/>
    <w:rsid w:val="00E37BF3"/>
    <w:rsid w:val="00E42EB5"/>
    <w:rsid w:val="00E64502"/>
    <w:rsid w:val="00E73E63"/>
    <w:rsid w:val="00EA63EC"/>
    <w:rsid w:val="00EC5CA0"/>
    <w:rsid w:val="00ED0A09"/>
    <w:rsid w:val="00ED19F4"/>
    <w:rsid w:val="00ED4B11"/>
    <w:rsid w:val="00EE5ED6"/>
    <w:rsid w:val="00F112E1"/>
    <w:rsid w:val="00F241C2"/>
    <w:rsid w:val="00F31B1A"/>
    <w:rsid w:val="00F3336B"/>
    <w:rsid w:val="00F54BB8"/>
    <w:rsid w:val="00F554AB"/>
    <w:rsid w:val="00F55546"/>
    <w:rsid w:val="00F56ABA"/>
    <w:rsid w:val="00F607C3"/>
    <w:rsid w:val="00F6733B"/>
    <w:rsid w:val="00F74D67"/>
    <w:rsid w:val="00F862AD"/>
    <w:rsid w:val="00F95AD5"/>
    <w:rsid w:val="00FB5979"/>
    <w:rsid w:val="00FC1CE2"/>
    <w:rsid w:val="00FD36C2"/>
    <w:rsid w:val="00FD6619"/>
    <w:rsid w:val="00FE5BC3"/>
    <w:rsid w:val="03DF6809"/>
    <w:rsid w:val="07FB2FD7"/>
    <w:rsid w:val="0BAE7776"/>
    <w:rsid w:val="0F3B7E1F"/>
    <w:rsid w:val="15CFE061"/>
    <w:rsid w:val="177765D5"/>
    <w:rsid w:val="17FBCDB9"/>
    <w:rsid w:val="18EF0813"/>
    <w:rsid w:val="19CDEBCA"/>
    <w:rsid w:val="1CE78AE0"/>
    <w:rsid w:val="1DB7E0B8"/>
    <w:rsid w:val="1DDB85FB"/>
    <w:rsid w:val="1DDFA0BB"/>
    <w:rsid w:val="1DFE1898"/>
    <w:rsid w:val="1E62939E"/>
    <w:rsid w:val="1E8F085D"/>
    <w:rsid w:val="1FDFCDCE"/>
    <w:rsid w:val="27BB0D05"/>
    <w:rsid w:val="29DA7527"/>
    <w:rsid w:val="2EFEC1EF"/>
    <w:rsid w:val="2F6C48C2"/>
    <w:rsid w:val="2FDDC0BE"/>
    <w:rsid w:val="2FF42C22"/>
    <w:rsid w:val="33DFA9EF"/>
    <w:rsid w:val="34FF6159"/>
    <w:rsid w:val="35EABB7C"/>
    <w:rsid w:val="377F2ACB"/>
    <w:rsid w:val="37D33BE8"/>
    <w:rsid w:val="396CD0A7"/>
    <w:rsid w:val="39FD7C0E"/>
    <w:rsid w:val="39FDA7C8"/>
    <w:rsid w:val="3ACF01C7"/>
    <w:rsid w:val="3AEE844A"/>
    <w:rsid w:val="3B7F41F8"/>
    <w:rsid w:val="3C87DA33"/>
    <w:rsid w:val="3DBA9CFF"/>
    <w:rsid w:val="3DCDFA24"/>
    <w:rsid w:val="3DDFADDC"/>
    <w:rsid w:val="3DEF39FB"/>
    <w:rsid w:val="3DFFE7AC"/>
    <w:rsid w:val="3E6B689B"/>
    <w:rsid w:val="3E7DE348"/>
    <w:rsid w:val="3F27A71B"/>
    <w:rsid w:val="3F328ECB"/>
    <w:rsid w:val="3FF3C329"/>
    <w:rsid w:val="3FFFF241"/>
    <w:rsid w:val="494DC6A5"/>
    <w:rsid w:val="49F7CF01"/>
    <w:rsid w:val="4BAF75F5"/>
    <w:rsid w:val="4F13CE54"/>
    <w:rsid w:val="4F731B25"/>
    <w:rsid w:val="4FF28224"/>
    <w:rsid w:val="4FF3CABF"/>
    <w:rsid w:val="4FF78F34"/>
    <w:rsid w:val="53F7E071"/>
    <w:rsid w:val="53FB4796"/>
    <w:rsid w:val="56DFB1DE"/>
    <w:rsid w:val="577F77E1"/>
    <w:rsid w:val="57D9F0B7"/>
    <w:rsid w:val="597502C0"/>
    <w:rsid w:val="59A36954"/>
    <w:rsid w:val="59FFBE79"/>
    <w:rsid w:val="5B7931C6"/>
    <w:rsid w:val="5B9C669A"/>
    <w:rsid w:val="5B9D959D"/>
    <w:rsid w:val="5BEBC2B0"/>
    <w:rsid w:val="5BFE7C63"/>
    <w:rsid w:val="5D0A15BE"/>
    <w:rsid w:val="5D3B54E6"/>
    <w:rsid w:val="5D3D0F16"/>
    <w:rsid w:val="5D5A996D"/>
    <w:rsid w:val="5D9FCE82"/>
    <w:rsid w:val="5DF407B4"/>
    <w:rsid w:val="5DF8DBD4"/>
    <w:rsid w:val="5DFE2EF0"/>
    <w:rsid w:val="5EABABBB"/>
    <w:rsid w:val="5EEF96E1"/>
    <w:rsid w:val="5EFDD9D6"/>
    <w:rsid w:val="5F5A1F4D"/>
    <w:rsid w:val="5F674C96"/>
    <w:rsid w:val="5FBA49CB"/>
    <w:rsid w:val="5FBB8950"/>
    <w:rsid w:val="5FDFE28F"/>
    <w:rsid w:val="5FFA5F7B"/>
    <w:rsid w:val="5FFD87D4"/>
    <w:rsid w:val="5FFF732F"/>
    <w:rsid w:val="5FFFCA23"/>
    <w:rsid w:val="66F79BEE"/>
    <w:rsid w:val="677DA91F"/>
    <w:rsid w:val="67FD3BEF"/>
    <w:rsid w:val="67FFF805"/>
    <w:rsid w:val="693FE53E"/>
    <w:rsid w:val="6B7AB947"/>
    <w:rsid w:val="6BE11547"/>
    <w:rsid w:val="6C8B25BE"/>
    <w:rsid w:val="6CCFD70D"/>
    <w:rsid w:val="6CF86503"/>
    <w:rsid w:val="6DBEFB7C"/>
    <w:rsid w:val="6DEB4D9B"/>
    <w:rsid w:val="6F58E261"/>
    <w:rsid w:val="6F6B4256"/>
    <w:rsid w:val="6FBD588B"/>
    <w:rsid w:val="6FBF24C0"/>
    <w:rsid w:val="6FEACBDB"/>
    <w:rsid w:val="6FEF33F7"/>
    <w:rsid w:val="6FF67066"/>
    <w:rsid w:val="6FF7AE86"/>
    <w:rsid w:val="6FFC8128"/>
    <w:rsid w:val="6FFD0398"/>
    <w:rsid w:val="706512D4"/>
    <w:rsid w:val="719F5BF4"/>
    <w:rsid w:val="72EFD380"/>
    <w:rsid w:val="73BA03DD"/>
    <w:rsid w:val="76BEA0A4"/>
    <w:rsid w:val="76BF9014"/>
    <w:rsid w:val="77671BDE"/>
    <w:rsid w:val="776FDEA8"/>
    <w:rsid w:val="777706AC"/>
    <w:rsid w:val="777A748A"/>
    <w:rsid w:val="777FEE07"/>
    <w:rsid w:val="77BDB4CB"/>
    <w:rsid w:val="77BFD717"/>
    <w:rsid w:val="77DD3587"/>
    <w:rsid w:val="77DF1EC3"/>
    <w:rsid w:val="77DF253B"/>
    <w:rsid w:val="77F95337"/>
    <w:rsid w:val="77FE8FB6"/>
    <w:rsid w:val="78CE9A74"/>
    <w:rsid w:val="78CF2ADA"/>
    <w:rsid w:val="797BA797"/>
    <w:rsid w:val="79AF3757"/>
    <w:rsid w:val="79DE2F5E"/>
    <w:rsid w:val="7A4C5B37"/>
    <w:rsid w:val="7A7F643B"/>
    <w:rsid w:val="7AE55793"/>
    <w:rsid w:val="7AFF2808"/>
    <w:rsid w:val="7B2FF2B8"/>
    <w:rsid w:val="7BAF9C34"/>
    <w:rsid w:val="7BBBDF35"/>
    <w:rsid w:val="7BF76A97"/>
    <w:rsid w:val="7BFACBA7"/>
    <w:rsid w:val="7BFDAF41"/>
    <w:rsid w:val="7BFF329F"/>
    <w:rsid w:val="7BFFEC6C"/>
    <w:rsid w:val="7D77F545"/>
    <w:rsid w:val="7D9D788E"/>
    <w:rsid w:val="7D9FD4B5"/>
    <w:rsid w:val="7DEB75E7"/>
    <w:rsid w:val="7DFFC2C5"/>
    <w:rsid w:val="7ECDFC9F"/>
    <w:rsid w:val="7EDA4E9C"/>
    <w:rsid w:val="7EFB52A8"/>
    <w:rsid w:val="7EFBCC86"/>
    <w:rsid w:val="7F7B2CE8"/>
    <w:rsid w:val="7F847BC0"/>
    <w:rsid w:val="7F859EFF"/>
    <w:rsid w:val="7F9A3222"/>
    <w:rsid w:val="7F9C85DB"/>
    <w:rsid w:val="7FDC452F"/>
    <w:rsid w:val="7FDCC713"/>
    <w:rsid w:val="7FDF98BE"/>
    <w:rsid w:val="7FDFB540"/>
    <w:rsid w:val="7FEDA328"/>
    <w:rsid w:val="7FEDE97C"/>
    <w:rsid w:val="7FEEEACC"/>
    <w:rsid w:val="7FEF26B7"/>
    <w:rsid w:val="7FEF80A6"/>
    <w:rsid w:val="7FF0D7BD"/>
    <w:rsid w:val="7FF721D7"/>
    <w:rsid w:val="7FF78E9C"/>
    <w:rsid w:val="7FFB5477"/>
    <w:rsid w:val="7FFBFD7D"/>
    <w:rsid w:val="7FFCA153"/>
    <w:rsid w:val="7FFDE1B4"/>
    <w:rsid w:val="7FFF2B75"/>
    <w:rsid w:val="7FFF4FE4"/>
    <w:rsid w:val="7FFF70A6"/>
    <w:rsid w:val="7FFF99EF"/>
    <w:rsid w:val="7FFFF11E"/>
    <w:rsid w:val="9AFDCFAB"/>
    <w:rsid w:val="9BBA307A"/>
    <w:rsid w:val="9EE30717"/>
    <w:rsid w:val="9F3F3035"/>
    <w:rsid w:val="9FB722AE"/>
    <w:rsid w:val="9FD9A1F4"/>
    <w:rsid w:val="A6B54426"/>
    <w:rsid w:val="A7ED6B46"/>
    <w:rsid w:val="ABEF6C88"/>
    <w:rsid w:val="ABFE70CC"/>
    <w:rsid w:val="AF778C4E"/>
    <w:rsid w:val="B05B7297"/>
    <w:rsid w:val="B7EB7FD2"/>
    <w:rsid w:val="B9BCC4EC"/>
    <w:rsid w:val="BAFB8491"/>
    <w:rsid w:val="BBB9D778"/>
    <w:rsid w:val="BDFF8BCD"/>
    <w:rsid w:val="BF74FBFE"/>
    <w:rsid w:val="BF788D4D"/>
    <w:rsid w:val="BF7F92E5"/>
    <w:rsid w:val="BFC3DFFA"/>
    <w:rsid w:val="BFE5079D"/>
    <w:rsid w:val="BFF7A9A8"/>
    <w:rsid w:val="BFFA8CD0"/>
    <w:rsid w:val="BFFB203D"/>
    <w:rsid w:val="C463B250"/>
    <w:rsid w:val="C74F4D4E"/>
    <w:rsid w:val="CB7D6125"/>
    <w:rsid w:val="CBDB1FEA"/>
    <w:rsid w:val="CDDD4679"/>
    <w:rsid w:val="CEE708CF"/>
    <w:rsid w:val="CFC7135B"/>
    <w:rsid w:val="CFD5A503"/>
    <w:rsid w:val="D35F9910"/>
    <w:rsid w:val="D37F761A"/>
    <w:rsid w:val="D3DFA3A1"/>
    <w:rsid w:val="D3F7AF44"/>
    <w:rsid w:val="D7B9750A"/>
    <w:rsid w:val="D96B4C85"/>
    <w:rsid w:val="DAEDD6E8"/>
    <w:rsid w:val="DBAE87E6"/>
    <w:rsid w:val="DC19A872"/>
    <w:rsid w:val="DCEDB38D"/>
    <w:rsid w:val="DD7D36CC"/>
    <w:rsid w:val="DD973ECC"/>
    <w:rsid w:val="DDC7485F"/>
    <w:rsid w:val="DEFD5774"/>
    <w:rsid w:val="DF77C3E6"/>
    <w:rsid w:val="DFBFDF8E"/>
    <w:rsid w:val="DFFF3E2C"/>
    <w:rsid w:val="DFFF9FCF"/>
    <w:rsid w:val="E0BBD530"/>
    <w:rsid w:val="E2AFBA31"/>
    <w:rsid w:val="E4F7FE04"/>
    <w:rsid w:val="E57FCADC"/>
    <w:rsid w:val="E6FF9903"/>
    <w:rsid w:val="E7C2E955"/>
    <w:rsid w:val="E9F3C9EA"/>
    <w:rsid w:val="EA8782BF"/>
    <w:rsid w:val="EB448F51"/>
    <w:rsid w:val="EBF7132C"/>
    <w:rsid w:val="EBFB9810"/>
    <w:rsid w:val="ED3F078F"/>
    <w:rsid w:val="ED7AEBD0"/>
    <w:rsid w:val="ED7D9022"/>
    <w:rsid w:val="EDDFFB25"/>
    <w:rsid w:val="EDEF4F5C"/>
    <w:rsid w:val="EEBE6665"/>
    <w:rsid w:val="EEDEBD68"/>
    <w:rsid w:val="EEEB29BA"/>
    <w:rsid w:val="EEEFB1A3"/>
    <w:rsid w:val="EEF753C3"/>
    <w:rsid w:val="EF27BEC7"/>
    <w:rsid w:val="EF3FCF0D"/>
    <w:rsid w:val="EF9D5D96"/>
    <w:rsid w:val="EFF686DE"/>
    <w:rsid w:val="EFFDE033"/>
    <w:rsid w:val="EFFF0C5B"/>
    <w:rsid w:val="EFFF5EDA"/>
    <w:rsid w:val="F1AF7798"/>
    <w:rsid w:val="F1ED4869"/>
    <w:rsid w:val="F38D895D"/>
    <w:rsid w:val="F3AF5C88"/>
    <w:rsid w:val="F3BD1C6A"/>
    <w:rsid w:val="F3F72254"/>
    <w:rsid w:val="F546F967"/>
    <w:rsid w:val="F5FFC33A"/>
    <w:rsid w:val="F6779153"/>
    <w:rsid w:val="F6A957C9"/>
    <w:rsid w:val="F6B39E1B"/>
    <w:rsid w:val="F6FD1B0B"/>
    <w:rsid w:val="F71A005F"/>
    <w:rsid w:val="F77F9D3D"/>
    <w:rsid w:val="F795B82E"/>
    <w:rsid w:val="F79C432E"/>
    <w:rsid w:val="F7BDEAB3"/>
    <w:rsid w:val="F7CC591A"/>
    <w:rsid w:val="F7DEB035"/>
    <w:rsid w:val="F7DFCB7A"/>
    <w:rsid w:val="F7FF3924"/>
    <w:rsid w:val="F8FA4A1F"/>
    <w:rsid w:val="F97C16E4"/>
    <w:rsid w:val="F9DE8E65"/>
    <w:rsid w:val="FA6697E8"/>
    <w:rsid w:val="FAF1BC1B"/>
    <w:rsid w:val="FB78E3DA"/>
    <w:rsid w:val="FBEB3FFF"/>
    <w:rsid w:val="FBEF8E42"/>
    <w:rsid w:val="FBF82225"/>
    <w:rsid w:val="FBFF7F4E"/>
    <w:rsid w:val="FBFFAB84"/>
    <w:rsid w:val="FD7D4407"/>
    <w:rsid w:val="FD7E0DE6"/>
    <w:rsid w:val="FD9E5254"/>
    <w:rsid w:val="FD9F25CB"/>
    <w:rsid w:val="FDCD771E"/>
    <w:rsid w:val="FDEF07FC"/>
    <w:rsid w:val="FDF639AB"/>
    <w:rsid w:val="FDF72985"/>
    <w:rsid w:val="FE3F754A"/>
    <w:rsid w:val="FEE57039"/>
    <w:rsid w:val="FEE77814"/>
    <w:rsid w:val="FEEE76EC"/>
    <w:rsid w:val="FEFB0607"/>
    <w:rsid w:val="FF73E6A7"/>
    <w:rsid w:val="FF760E7C"/>
    <w:rsid w:val="FF778E5C"/>
    <w:rsid w:val="FF7BEC4A"/>
    <w:rsid w:val="FF7C6AB7"/>
    <w:rsid w:val="FF7DDAF8"/>
    <w:rsid w:val="FF9C66D3"/>
    <w:rsid w:val="FFBF54AC"/>
    <w:rsid w:val="FFBFAB0C"/>
    <w:rsid w:val="FFBFCB0E"/>
    <w:rsid w:val="FFCB5470"/>
    <w:rsid w:val="FFCF7A3D"/>
    <w:rsid w:val="FFD5378D"/>
    <w:rsid w:val="FFE31FD0"/>
    <w:rsid w:val="FFED8613"/>
    <w:rsid w:val="FFF70802"/>
    <w:rsid w:val="FFF92FD8"/>
    <w:rsid w:val="FFFD099D"/>
    <w:rsid w:val="FFFD1FC8"/>
    <w:rsid w:val="FFFDD142"/>
    <w:rsid w:val="FFFF5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rPr>
      <w:rFonts w:ascii="Times New Roman" w:hAnsi="Times New Roman"/>
      <w:kern w:val="0"/>
      <w:sz w:val="30"/>
      <w:szCs w:val="20"/>
    </w:rPr>
  </w:style>
  <w:style w:type="paragraph" w:styleId="3">
    <w:name w:val="Body Text Indent"/>
    <w:basedOn w:val="1"/>
    <w:next w:val="4"/>
    <w:qFormat/>
    <w:uiPriority w:val="0"/>
    <w:pPr>
      <w:ind w:firstLine="660"/>
    </w:pPr>
    <w:rPr>
      <w:rFonts w:ascii="楷体_GB2312" w:hAnsi="宋体"/>
    </w:rPr>
  </w:style>
  <w:style w:type="paragraph" w:styleId="4">
    <w:name w:val="Normal Indent"/>
    <w:basedOn w:val="1"/>
    <w:next w:val="1"/>
    <w:qFormat/>
    <w:uiPriority w:val="0"/>
    <w:pPr>
      <w:ind w:firstLine="680"/>
    </w:pPr>
  </w:style>
  <w:style w:type="paragraph" w:styleId="5">
    <w:name w:val="annotation text"/>
    <w:basedOn w:val="1"/>
    <w:link w:val="16"/>
    <w:qFormat/>
    <w:uiPriority w:val="0"/>
    <w:pPr>
      <w:jc w:val="left"/>
    </w:pPr>
  </w:style>
  <w:style w:type="paragraph" w:styleId="6">
    <w:name w:val="Balloon Text"/>
    <w:basedOn w:val="1"/>
    <w:link w:val="20"/>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Body Text First Indent"/>
    <w:basedOn w:val="2"/>
    <w:next w:val="1"/>
    <w:unhideWhenUsed/>
    <w:qFormat/>
    <w:uiPriority w:val="99"/>
    <w:pPr>
      <w:suppressAutoHyphens/>
      <w:ind w:firstLine="420" w:firstLineChars="100"/>
    </w:pPr>
    <w:rPr>
      <w:rFonts w:eastAsia="宋体" w:cs="Times New Roman"/>
    </w:rPr>
  </w:style>
  <w:style w:type="character" w:styleId="13">
    <w:name w:val="Strong"/>
    <w:basedOn w:val="12"/>
    <w:qFormat/>
    <w:uiPriority w:val="22"/>
    <w:rPr>
      <w:b/>
      <w:bCs/>
    </w:rPr>
  </w:style>
  <w:style w:type="character" w:styleId="14">
    <w:name w:val="Emphasis"/>
    <w:basedOn w:val="12"/>
    <w:qFormat/>
    <w:uiPriority w:val="20"/>
    <w:rPr>
      <w:i/>
      <w:iCs/>
    </w:rPr>
  </w:style>
  <w:style w:type="paragraph" w:styleId="15">
    <w:name w:val="List Paragraph"/>
    <w:basedOn w:val="1"/>
    <w:qFormat/>
    <w:uiPriority w:val="99"/>
    <w:pPr>
      <w:ind w:firstLine="420" w:firstLineChars="200"/>
    </w:pPr>
  </w:style>
  <w:style w:type="character" w:customStyle="1" w:styleId="16">
    <w:name w:val="批注文字 字符"/>
    <w:basedOn w:val="12"/>
    <w:link w:val="5"/>
    <w:qFormat/>
    <w:uiPriority w:val="0"/>
    <w:rPr>
      <w:szCs w:val="24"/>
    </w:rPr>
  </w:style>
  <w:style w:type="character" w:customStyle="1" w:styleId="17">
    <w:name w:val="fontstyle01"/>
    <w:basedOn w:val="12"/>
    <w:qFormat/>
    <w:uiPriority w:val="0"/>
    <w:rPr>
      <w:rFonts w:hint="default" w:ascii="MicrosoftYaHei" w:hAnsi="MicrosoftYaHei"/>
      <w:color w:val="000000"/>
      <w:sz w:val="32"/>
      <w:szCs w:val="32"/>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character" w:customStyle="1" w:styleId="20">
    <w:name w:val="批注框文本 字符"/>
    <w:basedOn w:val="12"/>
    <w:link w:val="6"/>
    <w:qFormat/>
    <w:uiPriority w:val="99"/>
    <w:rPr>
      <w:sz w:val="18"/>
      <w:szCs w:val="18"/>
    </w:rPr>
  </w:style>
  <w:style w:type="character" w:customStyle="1" w:styleId="21">
    <w:name w:val="批注框文本 字符1"/>
    <w:basedOn w:val="12"/>
    <w:semiHidden/>
    <w:qFormat/>
    <w:uiPriority w:val="99"/>
    <w:rPr>
      <w:sz w:val="18"/>
      <w:szCs w:val="18"/>
    </w:rPr>
  </w:style>
  <w:style w:type="character" w:customStyle="1" w:styleId="22">
    <w:name w:val="bjh-p"/>
    <w:basedOn w:val="12"/>
    <w:qFormat/>
    <w:uiPriority w:val="0"/>
  </w:style>
  <w:style w:type="character" w:customStyle="1" w:styleId="23">
    <w:name w:val="font5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946</Words>
  <Characters>5396</Characters>
  <Lines>44</Lines>
  <Paragraphs>12</Paragraphs>
  <TotalTime>5</TotalTime>
  <ScaleCrop>false</ScaleCrop>
  <LinksUpToDate>false</LinksUpToDate>
  <CharactersWithSpaces>6330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2023-10-30T17:19:00Z</dcterms:created>
  <dc:creator>Feng</dc:creator>
  <cp:lastModifiedBy>uos</cp:lastModifiedBy>
  <cp:lastPrinted>2024-11-01T17:06:00Z</cp:lastPrinted>
  <dcterms:modified xsi:type="dcterms:W3CDTF">2024-11-08T11:27:00Z</dcterms:modified>
  <dc:title>附件1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