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beforeLines="0" w:afterLines="0" w:line="560" w:lineRule="exact"/>
        <w:rPr>
          <w:rFonts w:hint="eastAsia" w:ascii="方正黑体_GBK" w:hAnsi="方正黑体_GBK" w:eastAsia="方正黑体_GBK" w:cs="方正黑体_GBK"/>
          <w:sz w:val="32"/>
          <w:szCs w:val="32"/>
        </w:rPr>
      </w:pPr>
    </w:p>
    <w:p>
      <w:pPr>
        <w:pStyle w:val="2"/>
        <w:keepNext w:val="0"/>
        <w:keepLines w:val="0"/>
        <w:spacing w:before="0" w:after="0" w:line="560" w:lineRule="exact"/>
        <w:jc w:val="center"/>
        <w:rPr>
          <w:rFonts w:ascii="Times New Roman" w:hAnsi="Times New Roman" w:eastAsia="方正小标宋简体"/>
          <w:b w:val="0"/>
          <w:color w:val="000000"/>
          <w:kern w:val="0"/>
          <w:szCs w:val="44"/>
          <w:lang w:val="zh-TW" w:bidi="zh-TW"/>
        </w:rPr>
      </w:pPr>
      <w:r>
        <w:rPr>
          <w:rFonts w:ascii="Times New Roman" w:hAnsi="Times New Roman"/>
          <w:bCs/>
          <w:sz w:val="32"/>
          <w:szCs w:val="32"/>
        </w:rPr>
        <w:t xml:space="preserve"> </w:t>
      </w:r>
      <w:r>
        <w:rPr>
          <w:rFonts w:ascii="Times New Roman" w:hAnsi="Times New Roman"/>
          <w:bCs/>
          <w:szCs w:val="44"/>
        </w:rPr>
        <w:t xml:space="preserve">    </w:t>
      </w:r>
      <w:r>
        <w:rPr>
          <w:rFonts w:ascii="Times New Roman" w:hAnsi="Times New Roman" w:eastAsia="方正小标宋简体"/>
          <w:b w:val="0"/>
          <w:color w:val="000000"/>
          <w:kern w:val="0"/>
          <w:szCs w:val="44"/>
          <w:lang w:val="zh-TW" w:bidi="zh-TW"/>
        </w:rPr>
        <w:t>海南省促进总部经济发展管理办法</w:t>
      </w:r>
    </w:p>
    <w:p>
      <w:pPr>
        <w:pStyle w:val="7"/>
        <w:spacing w:beforeLines="0" w:afterLines="0" w:line="560" w:lineRule="exact"/>
        <w:ind w:firstLine="0"/>
        <w:jc w:val="center"/>
        <w:rPr>
          <w:rFonts w:ascii="Times New Roman" w:hAnsi="Times New Roman" w:eastAsia="黑体" w:cs="Times New Roman"/>
          <w:color w:val="000000"/>
          <w:sz w:val="32"/>
          <w:szCs w:val="32"/>
        </w:rPr>
      </w:pPr>
    </w:p>
    <w:p>
      <w:pPr>
        <w:pStyle w:val="7"/>
        <w:spacing w:beforeLines="0" w:afterLines="0"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第一章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rPr>
        <w:t>总则</w:t>
      </w:r>
    </w:p>
    <w:p>
      <w:pPr>
        <w:pStyle w:val="7"/>
        <w:spacing w:beforeLines="0" w:afterLines="0"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第一条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为服务海南自由贸易港建设发展战略，聚焦旅游业、现代服务业、高新技术产业及热带特色高效农业等重点产业集群化发展，推动全球资本和创新</w:t>
      </w:r>
      <w:r>
        <w:rPr>
          <w:rFonts w:hint="eastAsia" w:ascii="方正仿宋_GBK" w:hAnsi="方正仿宋_GBK" w:eastAsia="方正仿宋_GBK" w:cs="方正仿宋_GBK"/>
          <w:color w:val="000000"/>
          <w:sz w:val="32"/>
          <w:szCs w:val="32"/>
          <w:lang w:val="en-US" w:eastAsia="zh-CN"/>
        </w:rPr>
        <w:t>等</w:t>
      </w:r>
      <w:r>
        <w:rPr>
          <w:rFonts w:hint="eastAsia" w:ascii="方正仿宋_GBK" w:hAnsi="方正仿宋_GBK" w:eastAsia="方正仿宋_GBK" w:cs="方正仿宋_GBK"/>
          <w:color w:val="000000"/>
          <w:sz w:val="32"/>
          <w:szCs w:val="32"/>
        </w:rPr>
        <w:t>要素聚集，促进我省总部经济高质量发展，制定本办法。</w:t>
      </w:r>
    </w:p>
    <w:p>
      <w:pPr>
        <w:pStyle w:val="7"/>
        <w:spacing w:beforeLines="0" w:afterLines="0" w:line="560" w:lineRule="exact"/>
        <w:ind w:firstLine="6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第二条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本办法所称总部企业，是指对一定区域内的企业行使实质性管理服务职能的总机构，包括新落户总部和现有总部。</w:t>
      </w:r>
    </w:p>
    <w:p>
      <w:pPr>
        <w:pStyle w:val="7"/>
        <w:spacing w:beforeLines="0" w:afterLines="0" w:line="560" w:lineRule="exact"/>
        <w:ind w:firstLine="6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新落户总部，是指本办法发布后认定的总部企业。现有总部，是指本办法发布</w:t>
      </w:r>
      <w:r>
        <w:rPr>
          <w:rFonts w:hint="eastAsia" w:ascii="方正仿宋_GBK" w:hAnsi="方正仿宋_GBK" w:eastAsia="方正仿宋_GBK" w:cs="方正仿宋_GBK"/>
          <w:color w:val="000000"/>
          <w:sz w:val="32"/>
          <w:szCs w:val="32"/>
          <w:lang w:val="en-US" w:eastAsia="zh-CN"/>
        </w:rPr>
        <w:t>前</w:t>
      </w:r>
      <w:r>
        <w:rPr>
          <w:rFonts w:hint="eastAsia" w:ascii="方正仿宋_GBK" w:hAnsi="方正仿宋_GBK" w:eastAsia="方正仿宋_GBK" w:cs="方正仿宋_GBK"/>
          <w:color w:val="000000"/>
          <w:sz w:val="32"/>
          <w:szCs w:val="32"/>
        </w:rPr>
        <w:t>已认定且存续至今的总部企业。</w:t>
      </w:r>
    </w:p>
    <w:p>
      <w:pPr>
        <w:pStyle w:val="7"/>
        <w:spacing w:beforeLines="0" w:afterLines="0" w:line="560" w:lineRule="exact"/>
        <w:ind w:firstLine="6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lang w:val="en-US" w:eastAsia="zh-CN"/>
        </w:rPr>
        <w:t xml:space="preserve">第三条  </w:t>
      </w:r>
      <w:r>
        <w:rPr>
          <w:rFonts w:hint="eastAsia" w:ascii="方正仿宋_GBK" w:hAnsi="方正仿宋_GBK" w:eastAsia="方正仿宋_GBK" w:cs="方正仿宋_GBK"/>
          <w:color w:val="000000"/>
          <w:sz w:val="32"/>
          <w:szCs w:val="32"/>
        </w:rPr>
        <w:t>总部企业类型分为跨国公司区域总部、大企业总部、综合型总部、功能型总部和高成长型总部。按照</w:t>
      </w:r>
      <w:r>
        <w:rPr>
          <w:rFonts w:hint="eastAsia" w:ascii="方正仿宋_GBK" w:hAnsi="方正仿宋_GBK" w:eastAsia="方正仿宋_GBK" w:cs="方正仿宋_GBK"/>
          <w:color w:val="000000"/>
          <w:sz w:val="32"/>
          <w:szCs w:val="32"/>
          <w:lang w:val="zh-CN" w:eastAsia="zh-CN" w:bidi="zh-CN"/>
        </w:rPr>
        <w:t>“分</w:t>
      </w:r>
      <w:r>
        <w:rPr>
          <w:rFonts w:hint="eastAsia" w:ascii="方正仿宋_GBK" w:hAnsi="方正仿宋_GBK" w:eastAsia="方正仿宋_GBK" w:cs="方正仿宋_GBK"/>
          <w:color w:val="000000"/>
          <w:sz w:val="32"/>
          <w:szCs w:val="32"/>
        </w:rPr>
        <w:t>类认定、分级管理”原则，由海南自由贸易港招商工作和促进总部经济发展联席会议</w:t>
      </w:r>
      <w:r>
        <w:rPr>
          <w:rFonts w:hint="eastAsia" w:ascii="方正仿宋_GBK" w:hAnsi="方正仿宋_GBK" w:eastAsia="方正仿宋_GBK" w:cs="方正仿宋_GBK"/>
          <w:color w:val="000000"/>
          <w:sz w:val="32"/>
          <w:szCs w:val="32"/>
          <w:lang w:val="en-US" w:eastAsia="zh-CN"/>
        </w:rPr>
        <w:t>办公室</w:t>
      </w:r>
      <w:r>
        <w:rPr>
          <w:rFonts w:hint="eastAsia" w:ascii="方正仿宋_GBK" w:hAnsi="方正仿宋_GBK" w:eastAsia="方正仿宋_GBK" w:cs="方正仿宋_GBK"/>
          <w:color w:val="000000"/>
          <w:sz w:val="32"/>
          <w:szCs w:val="32"/>
        </w:rPr>
        <w:t>（以下简称</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省联席</w:t>
      </w:r>
      <w:r>
        <w:rPr>
          <w:rFonts w:hint="eastAsia" w:ascii="方正仿宋_GBK" w:hAnsi="方正仿宋_GBK" w:eastAsia="方正仿宋_GBK" w:cs="方正仿宋_GBK"/>
          <w:color w:val="000000"/>
          <w:sz w:val="32"/>
          <w:szCs w:val="32"/>
          <w:lang w:val="en-US" w:eastAsia="zh-CN"/>
        </w:rPr>
        <w:t>办</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）实施总部企业认定管理工作，市县设置相应机构并履行本级管理职能。</w:t>
      </w:r>
    </w:p>
    <w:p>
      <w:pPr>
        <w:pStyle w:val="7"/>
        <w:spacing w:beforeLines="0" w:afterLines="0" w:line="560" w:lineRule="exact"/>
        <w:ind w:firstLine="640"/>
        <w:rPr>
          <w:rFonts w:hint="eastAsia" w:ascii="方正仿宋_GBK" w:hAnsi="方正仿宋_GBK" w:eastAsia="方正仿宋_GBK" w:cs="方正仿宋_GBK"/>
          <w:color w:val="000000"/>
          <w:sz w:val="32"/>
          <w:szCs w:val="32"/>
        </w:rPr>
      </w:pPr>
    </w:p>
    <w:p>
      <w:pPr>
        <w:pStyle w:val="7"/>
        <w:spacing w:beforeLines="0" w:afterLines="0"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第二章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rPr>
        <w:t>认定标准及认定程序</w:t>
      </w:r>
    </w:p>
    <w:p>
      <w:pPr>
        <w:pStyle w:val="7"/>
        <w:spacing w:beforeLines="0" w:afterLines="0"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第四条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申请跨国公司区域总部须同时符合以下条件：</w:t>
      </w:r>
    </w:p>
    <w:p>
      <w:pPr>
        <w:pStyle w:val="7"/>
        <w:tabs>
          <w:tab w:val="left" w:pos="1579"/>
        </w:tabs>
        <w:spacing w:beforeLines="0" w:afterLines="0" w:line="560" w:lineRule="exact"/>
        <w:ind w:firstLine="640" w:firstLineChars="200"/>
        <w:rPr>
          <w:rFonts w:hint="eastAsia" w:ascii="方正仿宋_GBK" w:hAnsi="方正仿宋_GBK" w:eastAsia="方正仿宋_GBK" w:cs="方正仿宋_GBK"/>
          <w:color w:val="000000"/>
          <w:sz w:val="32"/>
          <w:szCs w:val="32"/>
        </w:rPr>
      </w:pPr>
      <w:bookmarkStart w:id="0" w:name="bookmark3"/>
      <w:r>
        <w:rPr>
          <w:rFonts w:hint="eastAsia" w:ascii="方正仿宋_GBK" w:hAnsi="方正仿宋_GBK" w:eastAsia="方正仿宋_GBK" w:cs="方正仿宋_GBK"/>
          <w:color w:val="000000"/>
          <w:sz w:val="32"/>
          <w:szCs w:val="32"/>
        </w:rPr>
        <w:t>（</w:t>
      </w:r>
      <w:bookmarkEnd w:id="0"/>
      <w:r>
        <w:rPr>
          <w:rFonts w:hint="eastAsia" w:ascii="方正仿宋_GBK" w:hAnsi="方正仿宋_GBK" w:eastAsia="方正仿宋_GBK" w:cs="方正仿宋_GBK"/>
          <w:color w:val="000000"/>
          <w:sz w:val="32"/>
          <w:szCs w:val="32"/>
        </w:rPr>
        <w:t>一）由境外注册的母公司在我省登记注册成立，具有独立法人资格的外商投资企业；</w:t>
      </w:r>
      <w:bookmarkStart w:id="1" w:name="bookmark4"/>
    </w:p>
    <w:p>
      <w:pPr>
        <w:pStyle w:val="7"/>
        <w:tabs>
          <w:tab w:val="left" w:pos="1579"/>
        </w:tabs>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bookmarkEnd w:id="1"/>
      <w:r>
        <w:rPr>
          <w:rFonts w:hint="eastAsia" w:ascii="方正仿宋_GBK" w:hAnsi="方正仿宋_GBK" w:eastAsia="方正仿宋_GBK" w:cs="方正仿宋_GBK"/>
          <w:color w:val="000000"/>
          <w:sz w:val="32"/>
          <w:szCs w:val="32"/>
        </w:rPr>
        <w:t>二）实缴注册资本不低于200万美元；</w:t>
      </w:r>
      <w:bookmarkStart w:id="2" w:name="bookmark5"/>
    </w:p>
    <w:p>
      <w:pPr>
        <w:pStyle w:val="7"/>
        <w:tabs>
          <w:tab w:val="left" w:pos="1579"/>
        </w:tabs>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bookmarkEnd w:id="2"/>
      <w:r>
        <w:rPr>
          <w:rFonts w:hint="eastAsia" w:ascii="方正仿宋_GBK" w:hAnsi="方正仿宋_GBK" w:eastAsia="方正仿宋_GBK" w:cs="方正仿宋_GBK"/>
          <w:color w:val="000000"/>
          <w:sz w:val="32"/>
          <w:szCs w:val="32"/>
        </w:rPr>
        <w:t>三）境外母公司直接持股不低于50%</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母公司的资产总额不低于2亿美元；</w:t>
      </w:r>
      <w:bookmarkStart w:id="3" w:name="bookmark6"/>
    </w:p>
    <w:p>
      <w:pPr>
        <w:pStyle w:val="7"/>
        <w:tabs>
          <w:tab w:val="left" w:pos="1579"/>
        </w:tabs>
        <w:spacing w:beforeLines="0" w:afterLines="0" w:line="56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w:t>
      </w:r>
      <w:bookmarkEnd w:id="3"/>
      <w:r>
        <w:rPr>
          <w:rFonts w:hint="eastAsia" w:ascii="方正仿宋_GBK" w:hAnsi="方正仿宋_GBK" w:eastAsia="方正仿宋_GBK" w:cs="方正仿宋_GBK"/>
          <w:color w:val="000000"/>
          <w:sz w:val="32"/>
          <w:szCs w:val="32"/>
        </w:rPr>
        <w:t>四）母公司授权管理的中国境内外企业不少于3家</w:t>
      </w:r>
      <w:bookmarkStart w:id="4" w:name="bookmark7"/>
      <w:r>
        <w:rPr>
          <w:rFonts w:hint="eastAsia" w:ascii="方正仿宋_GBK" w:hAnsi="方正仿宋_GBK" w:eastAsia="方正仿宋_GBK" w:cs="方正仿宋_GBK"/>
          <w:color w:val="000000"/>
          <w:sz w:val="32"/>
          <w:szCs w:val="32"/>
          <w:lang w:eastAsia="zh-CN"/>
        </w:rPr>
        <w:t>。</w:t>
      </w:r>
    </w:p>
    <w:bookmarkEnd w:id="4"/>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第五条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申请大企业总部须同时符合以下条件：</w:t>
      </w:r>
      <w:bookmarkStart w:id="5" w:name="bookmark8"/>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bookmarkEnd w:id="5"/>
      <w:r>
        <w:rPr>
          <w:rFonts w:hint="eastAsia" w:ascii="方正仿宋_GBK" w:hAnsi="方正仿宋_GBK" w:eastAsia="方正仿宋_GBK" w:cs="方正仿宋_GBK"/>
          <w:color w:val="000000"/>
          <w:sz w:val="32"/>
          <w:szCs w:val="32"/>
        </w:rPr>
        <w:t>一）在我省</w:t>
      </w:r>
      <w:r>
        <w:rPr>
          <w:rFonts w:hint="eastAsia" w:ascii="方正仿宋_GBK" w:hAnsi="方正仿宋_GBK" w:eastAsia="方正仿宋_GBK" w:cs="方正仿宋_GBK"/>
          <w:color w:val="000000"/>
          <w:sz w:val="32"/>
          <w:szCs w:val="32"/>
          <w:lang w:val="en-US" w:eastAsia="zh-CN"/>
        </w:rPr>
        <w:t>登记注册成立</w:t>
      </w:r>
      <w:r>
        <w:rPr>
          <w:rFonts w:hint="eastAsia" w:ascii="方正仿宋_GBK" w:hAnsi="方正仿宋_GBK" w:eastAsia="方正仿宋_GBK" w:cs="方正仿宋_GBK"/>
          <w:color w:val="000000"/>
          <w:sz w:val="32"/>
          <w:szCs w:val="32"/>
        </w:rPr>
        <w:t>，具有独立法人资格；</w:t>
      </w:r>
      <w:bookmarkStart w:id="6" w:name="bookmark9"/>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bookmarkEnd w:id="6"/>
      <w:r>
        <w:rPr>
          <w:rFonts w:hint="eastAsia" w:ascii="方正仿宋_GBK" w:hAnsi="方正仿宋_GBK" w:eastAsia="方正仿宋_GBK" w:cs="方正仿宋_GBK"/>
          <w:color w:val="000000"/>
          <w:sz w:val="32"/>
          <w:szCs w:val="32"/>
        </w:rPr>
        <w:t>二）母公司的资产总额不低于20亿元人民币；</w:t>
      </w:r>
      <w:bookmarkStart w:id="7" w:name="bookmark10"/>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bookmarkEnd w:id="7"/>
      <w:r>
        <w:rPr>
          <w:rFonts w:hint="eastAsia" w:ascii="方正仿宋_GBK" w:hAnsi="方正仿宋_GBK" w:eastAsia="方正仿宋_GBK" w:cs="方正仿宋_GBK"/>
          <w:color w:val="000000"/>
          <w:sz w:val="32"/>
          <w:szCs w:val="32"/>
        </w:rPr>
        <w:t>三）在</w:t>
      </w:r>
      <w:r>
        <w:rPr>
          <w:rFonts w:hint="eastAsia" w:ascii="方正仿宋_GBK" w:hAnsi="方正仿宋_GBK" w:eastAsia="方正仿宋_GBK" w:cs="方正仿宋_GBK"/>
          <w:sz w:val="32"/>
          <w:szCs w:val="32"/>
        </w:rPr>
        <w:t>全国范围内</w:t>
      </w:r>
      <w:r>
        <w:rPr>
          <w:rFonts w:hint="eastAsia" w:ascii="方正仿宋_GBK" w:hAnsi="方正仿宋_GBK" w:eastAsia="方正仿宋_GBK" w:cs="方正仿宋_GBK"/>
          <w:color w:val="000000"/>
          <w:sz w:val="32"/>
          <w:szCs w:val="32"/>
        </w:rPr>
        <w:t>控股企业不少于</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家，其中省外企业不少于1家；</w:t>
      </w:r>
      <w:bookmarkStart w:id="8" w:name="bookmark11"/>
    </w:p>
    <w:p>
      <w:pPr>
        <w:pStyle w:val="7"/>
        <w:spacing w:beforeLines="0" w:afterLines="0"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w:t>
      </w:r>
      <w:bookmarkEnd w:id="8"/>
      <w:r>
        <w:rPr>
          <w:rFonts w:hint="eastAsia" w:ascii="方正仿宋_GBK" w:hAnsi="方正仿宋_GBK" w:eastAsia="方正仿宋_GBK" w:cs="方正仿宋_GBK"/>
          <w:color w:val="000000"/>
          <w:sz w:val="32"/>
          <w:szCs w:val="32"/>
        </w:rPr>
        <w:t>四）申请前一年或申请当年</w:t>
      </w:r>
      <w:r>
        <w:rPr>
          <w:rFonts w:hint="eastAsia" w:ascii="方正仿宋_GBK" w:hAnsi="方正仿宋_GBK" w:eastAsia="方正仿宋_GBK" w:cs="方正仿宋_GBK"/>
          <w:color w:val="000000"/>
          <w:sz w:val="32"/>
          <w:szCs w:val="32"/>
          <w:lang w:val="en-US" w:eastAsia="zh-CN"/>
        </w:rPr>
        <w:t>营业收入不低于1</w:t>
      </w:r>
      <w:r>
        <w:rPr>
          <w:rFonts w:hint="eastAsia" w:ascii="方正仿宋_GBK" w:hAnsi="方正仿宋_GBK" w:eastAsia="方正仿宋_GBK" w:cs="方正仿宋_GBK"/>
          <w:color w:val="000000"/>
          <w:sz w:val="32"/>
          <w:szCs w:val="32"/>
        </w:rPr>
        <w:t>0亿元人民币</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且</w:t>
      </w:r>
      <w:r>
        <w:rPr>
          <w:rFonts w:hint="eastAsia" w:ascii="方正仿宋_GBK" w:hAnsi="方正仿宋_GBK" w:eastAsia="方正仿宋_GBK" w:cs="方正仿宋_GBK"/>
          <w:color w:val="000000"/>
          <w:sz w:val="32"/>
          <w:szCs w:val="32"/>
        </w:rPr>
        <w:t>形成的地方财力贡献不低于3500万元人民币。</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在</w:t>
      </w:r>
      <w:r>
        <w:rPr>
          <w:rFonts w:hint="eastAsia" w:ascii="方正仿宋_GBK" w:hAnsi="方正仿宋_GBK" w:eastAsia="方正仿宋_GBK" w:cs="方正仿宋_GBK"/>
          <w:color w:val="000000"/>
          <w:sz w:val="32"/>
          <w:szCs w:val="32"/>
        </w:rPr>
        <w:t>我省</w:t>
      </w:r>
      <w:r>
        <w:rPr>
          <w:rFonts w:hint="eastAsia" w:ascii="方正仿宋_GBK" w:hAnsi="方正仿宋_GBK" w:eastAsia="方正仿宋_GBK" w:cs="方正仿宋_GBK"/>
          <w:color w:val="000000"/>
          <w:sz w:val="32"/>
          <w:szCs w:val="32"/>
          <w:lang w:val="en-US" w:eastAsia="zh-CN"/>
        </w:rPr>
        <w:t>登记注册成立的</w:t>
      </w:r>
      <w:r>
        <w:rPr>
          <w:rFonts w:hint="eastAsia" w:ascii="方正仿宋_GBK" w:hAnsi="方正仿宋_GBK" w:eastAsia="方正仿宋_GBK" w:cs="方正仿宋_GBK"/>
          <w:color w:val="000000"/>
          <w:sz w:val="32"/>
          <w:szCs w:val="32"/>
        </w:rPr>
        <w:t>具有独立法人资格</w:t>
      </w:r>
      <w:r>
        <w:rPr>
          <w:rFonts w:hint="eastAsia" w:ascii="方正仿宋_GBK" w:hAnsi="方正仿宋_GBK" w:eastAsia="方正仿宋_GBK" w:cs="方正仿宋_GBK"/>
          <w:color w:val="000000"/>
          <w:sz w:val="32"/>
          <w:szCs w:val="32"/>
          <w:lang w:val="en-US" w:eastAsia="zh-CN"/>
        </w:rPr>
        <w:t>的企业，满足下列条件之一的，</w:t>
      </w:r>
      <w:r>
        <w:rPr>
          <w:rFonts w:hint="eastAsia" w:ascii="方正仿宋_GBK" w:hAnsi="方正仿宋_GBK" w:eastAsia="方正仿宋_GBK" w:cs="方正仿宋_GBK"/>
          <w:color w:val="000000"/>
          <w:sz w:val="32"/>
          <w:szCs w:val="32"/>
        </w:rPr>
        <w:t>可</w:t>
      </w:r>
      <w:r>
        <w:rPr>
          <w:rFonts w:hint="eastAsia" w:ascii="方正仿宋_GBK" w:hAnsi="方正仿宋_GBK" w:eastAsia="方正仿宋_GBK" w:cs="方正仿宋_GBK"/>
          <w:color w:val="000000"/>
          <w:sz w:val="32"/>
          <w:szCs w:val="32"/>
          <w:lang w:val="en-US" w:eastAsia="zh-CN"/>
        </w:rPr>
        <w:t>直接认定为大企业总部：1.在</w:t>
      </w:r>
      <w:r>
        <w:rPr>
          <w:rFonts w:hint="eastAsia" w:ascii="方正仿宋_GBK" w:hAnsi="方正仿宋_GBK" w:eastAsia="方正仿宋_GBK" w:cs="方正仿宋_GBK"/>
          <w:color w:val="000000"/>
          <w:sz w:val="32"/>
          <w:szCs w:val="32"/>
        </w:rPr>
        <w:t>上海证券交易所或深圳</w:t>
      </w:r>
      <w:r>
        <w:rPr>
          <w:rFonts w:hint="eastAsia" w:ascii="方正仿宋_GBK" w:hAnsi="方正仿宋_GBK" w:eastAsia="方正仿宋_GBK" w:cs="方正仿宋_GBK"/>
          <w:color w:val="000000"/>
          <w:sz w:val="32"/>
          <w:szCs w:val="32"/>
          <w:lang w:val="en-US" w:eastAsia="zh-CN"/>
        </w:rPr>
        <w:t>证券</w:t>
      </w:r>
      <w:r>
        <w:rPr>
          <w:rFonts w:hint="eastAsia" w:ascii="方正仿宋_GBK" w:hAnsi="方正仿宋_GBK" w:eastAsia="方正仿宋_GBK" w:cs="方正仿宋_GBK"/>
          <w:color w:val="000000"/>
          <w:sz w:val="32"/>
          <w:szCs w:val="32"/>
        </w:rPr>
        <w:t>交易所主板上市</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国家和中央部门确定的大企业（集团）第二总部或区域性总部</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世界500强、中国500强、民企500强在</w:t>
      </w:r>
      <w:r>
        <w:rPr>
          <w:rFonts w:hint="eastAsia" w:ascii="方正仿宋_GBK" w:hAnsi="方正仿宋_GBK" w:eastAsia="方正仿宋_GBK" w:cs="方正仿宋_GBK"/>
          <w:color w:val="000000"/>
          <w:sz w:val="32"/>
          <w:szCs w:val="32"/>
          <w:lang w:val="en-US" w:eastAsia="zh-CN"/>
        </w:rPr>
        <w:t>琼</w:t>
      </w:r>
      <w:r>
        <w:rPr>
          <w:rFonts w:hint="eastAsia" w:ascii="方正仿宋_GBK" w:hAnsi="方正仿宋_GBK" w:eastAsia="方正仿宋_GBK" w:cs="方正仿宋_GBK"/>
          <w:color w:val="000000"/>
          <w:sz w:val="32"/>
          <w:szCs w:val="32"/>
        </w:rPr>
        <w:t>设立的总部或区域性总部</w:t>
      </w:r>
      <w:r>
        <w:rPr>
          <w:rFonts w:hint="eastAsia" w:ascii="方正仿宋_GBK" w:hAnsi="方正仿宋_GBK" w:eastAsia="方正仿宋_GBK" w:cs="方正仿宋_GBK"/>
          <w:color w:val="000000"/>
          <w:sz w:val="32"/>
          <w:szCs w:val="32"/>
          <w:lang w:val="en-US" w:eastAsia="zh-CN"/>
        </w:rPr>
        <w:t>。</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b/>
          <w:bCs/>
          <w:color w:val="000000"/>
          <w:sz w:val="32"/>
          <w:szCs w:val="32"/>
          <w:lang w:val="en-US" w:eastAsia="zh-CN"/>
        </w:rPr>
        <w:t xml:space="preserve">第六条  </w:t>
      </w:r>
      <w:r>
        <w:rPr>
          <w:rFonts w:hint="eastAsia" w:ascii="方正仿宋_GBK" w:hAnsi="方正仿宋_GBK" w:eastAsia="方正仿宋_GBK" w:cs="方正仿宋_GBK"/>
          <w:color w:val="000000"/>
          <w:sz w:val="32"/>
          <w:szCs w:val="32"/>
        </w:rPr>
        <w:t>申请综合型总部须同时符合以下条件</w:t>
      </w:r>
      <w:r>
        <w:rPr>
          <w:rFonts w:hint="eastAsia" w:ascii="方正仿宋_GBK" w:hAnsi="方正仿宋_GBK" w:eastAsia="方正仿宋_GBK" w:cs="方正仿宋_GBK"/>
          <w:color w:val="000000"/>
          <w:sz w:val="32"/>
          <w:szCs w:val="32"/>
          <w:lang w:eastAsia="zh-CN"/>
        </w:rPr>
        <w:t>：</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一）</w:t>
      </w:r>
      <w:r>
        <w:rPr>
          <w:rFonts w:hint="eastAsia" w:ascii="方正仿宋_GBK" w:hAnsi="方正仿宋_GBK" w:eastAsia="方正仿宋_GBK" w:cs="方正仿宋_GBK"/>
          <w:color w:val="000000"/>
          <w:sz w:val="32"/>
          <w:szCs w:val="32"/>
        </w:rPr>
        <w:t>在我省</w:t>
      </w:r>
      <w:r>
        <w:rPr>
          <w:rFonts w:hint="eastAsia" w:ascii="方正仿宋_GBK" w:hAnsi="方正仿宋_GBK" w:eastAsia="方正仿宋_GBK" w:cs="方正仿宋_GBK"/>
          <w:color w:val="000000"/>
          <w:sz w:val="32"/>
          <w:szCs w:val="32"/>
          <w:lang w:val="en-US" w:eastAsia="zh-CN"/>
        </w:rPr>
        <w:t>登记注册成立</w:t>
      </w:r>
      <w:r>
        <w:rPr>
          <w:rFonts w:hint="eastAsia" w:ascii="方正仿宋_GBK" w:hAnsi="方正仿宋_GBK" w:eastAsia="方正仿宋_GBK" w:cs="方正仿宋_GBK"/>
          <w:color w:val="000000"/>
          <w:sz w:val="32"/>
          <w:szCs w:val="32"/>
        </w:rPr>
        <w:t>，具有独立法人资格；</w:t>
      </w:r>
      <w:bookmarkStart w:id="9" w:name="bookmark19"/>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bookmarkEnd w:id="9"/>
      <w:r>
        <w:rPr>
          <w:rFonts w:hint="eastAsia" w:ascii="方正仿宋_GBK" w:hAnsi="方正仿宋_GBK" w:eastAsia="方正仿宋_GBK" w:cs="方正仿宋_GBK"/>
          <w:color w:val="000000"/>
          <w:sz w:val="32"/>
          <w:szCs w:val="32"/>
        </w:rPr>
        <w:t>二）申请前一年或申请当年营业收入不低于</w:t>
      </w: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亿元人民币，且形成的地方财力贡献不低于2</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00万元人民币；</w:t>
      </w:r>
      <w:bookmarkStart w:id="10" w:name="bookmark20"/>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bookmarkEnd w:id="10"/>
      <w:r>
        <w:rPr>
          <w:rFonts w:hint="eastAsia" w:ascii="方正仿宋_GBK" w:hAnsi="方正仿宋_GBK" w:eastAsia="方正仿宋_GBK" w:cs="方正仿宋_GBK"/>
          <w:color w:val="000000"/>
          <w:sz w:val="32"/>
          <w:szCs w:val="32"/>
        </w:rPr>
        <w:t>三）</w:t>
      </w:r>
      <w:r>
        <w:rPr>
          <w:rFonts w:hint="eastAsia" w:ascii="方正仿宋_GBK" w:hAnsi="方正仿宋_GBK" w:eastAsia="方正仿宋_GBK" w:cs="方正仿宋_GBK"/>
          <w:color w:val="000000"/>
          <w:sz w:val="32"/>
          <w:szCs w:val="32"/>
          <w:lang w:val="en-US" w:eastAsia="zh-CN"/>
        </w:rPr>
        <w:t>在琼承担总部在中国区、亚太区或更大区域范围内的商品采购、销售和结算，生产研发和产品销售，服务及服务贸易等一项或多项业务的运营职能。</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lang w:val="en-US" w:eastAsia="zh-CN"/>
        </w:rPr>
        <w:t xml:space="preserve">第七条  </w:t>
      </w:r>
      <w:r>
        <w:rPr>
          <w:rFonts w:hint="eastAsia" w:ascii="方正仿宋_GBK" w:hAnsi="方正仿宋_GBK" w:eastAsia="方正仿宋_GBK" w:cs="方正仿宋_GBK"/>
          <w:color w:val="000000"/>
          <w:sz w:val="32"/>
          <w:szCs w:val="32"/>
        </w:rPr>
        <w:t>申请功能型总部须同时符合以下条件：</w:t>
      </w:r>
      <w:bookmarkStart w:id="11" w:name="bookmark26"/>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bookmarkEnd w:id="11"/>
      <w:r>
        <w:rPr>
          <w:rFonts w:hint="eastAsia" w:ascii="方正仿宋_GBK" w:hAnsi="方正仿宋_GBK" w:eastAsia="方正仿宋_GBK" w:cs="方正仿宋_GBK"/>
          <w:color w:val="000000"/>
          <w:sz w:val="32"/>
          <w:szCs w:val="32"/>
        </w:rPr>
        <w:t>一）在我省</w:t>
      </w:r>
      <w:r>
        <w:rPr>
          <w:rFonts w:hint="eastAsia" w:ascii="方正仿宋_GBK" w:hAnsi="方正仿宋_GBK" w:eastAsia="方正仿宋_GBK" w:cs="方正仿宋_GBK"/>
          <w:color w:val="000000"/>
          <w:sz w:val="32"/>
          <w:szCs w:val="32"/>
          <w:lang w:val="en-US" w:eastAsia="zh-CN"/>
        </w:rPr>
        <w:t>登记注册成立</w:t>
      </w:r>
      <w:r>
        <w:rPr>
          <w:rFonts w:hint="eastAsia" w:ascii="方正仿宋_GBK" w:hAnsi="方正仿宋_GBK" w:eastAsia="方正仿宋_GBK" w:cs="方正仿宋_GBK"/>
          <w:color w:val="000000"/>
          <w:sz w:val="32"/>
          <w:szCs w:val="32"/>
        </w:rPr>
        <w:t>，具有独立法人资格；</w:t>
      </w:r>
      <w:bookmarkStart w:id="12" w:name="bookmark27"/>
    </w:p>
    <w:bookmarkEnd w:id="12"/>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bookmarkStart w:id="13" w:name="bookmark28"/>
      <w:r>
        <w:rPr>
          <w:rFonts w:hint="eastAsia" w:ascii="方正仿宋_GBK" w:hAnsi="方正仿宋_GBK" w:eastAsia="方正仿宋_GBK" w:cs="方正仿宋_GBK"/>
          <w:color w:val="000000"/>
          <w:sz w:val="32"/>
          <w:szCs w:val="32"/>
        </w:rPr>
        <w:t>（</w:t>
      </w:r>
      <w:bookmarkEnd w:id="13"/>
      <w:r>
        <w:rPr>
          <w:rFonts w:hint="eastAsia" w:ascii="方正仿宋_GBK" w:hAnsi="方正仿宋_GBK" w:eastAsia="方正仿宋_GBK" w:cs="方正仿宋_GBK"/>
          <w:color w:val="000000"/>
          <w:sz w:val="32"/>
          <w:szCs w:val="32"/>
          <w:lang w:val="en-US" w:eastAsia="zh-CN"/>
        </w:rPr>
        <w:t>二</w:t>
      </w:r>
      <w:r>
        <w:rPr>
          <w:rFonts w:hint="eastAsia" w:ascii="方正仿宋_GBK" w:hAnsi="方正仿宋_GBK" w:eastAsia="方正仿宋_GBK" w:cs="方正仿宋_GBK"/>
          <w:color w:val="000000"/>
          <w:sz w:val="32"/>
          <w:szCs w:val="32"/>
        </w:rPr>
        <w:t>）申请前一年或申请当年营业收入不低于</w:t>
      </w: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亿元人民币，且形成的地方财力贡献不低于</w:t>
      </w:r>
      <w:r>
        <w:rPr>
          <w:rFonts w:hint="eastAsia" w:ascii="方正仿宋_GBK" w:hAnsi="方正仿宋_GBK" w:eastAsia="方正仿宋_GBK" w:cs="方正仿宋_GBK"/>
          <w:color w:val="000000"/>
          <w:sz w:val="32"/>
          <w:szCs w:val="32"/>
          <w:lang w:val="en-US" w:eastAsia="zh-CN"/>
        </w:rPr>
        <w:t>10</w:t>
      </w:r>
      <w:r>
        <w:rPr>
          <w:rFonts w:hint="eastAsia" w:ascii="方正仿宋_GBK" w:hAnsi="方正仿宋_GBK" w:eastAsia="方正仿宋_GBK" w:cs="方正仿宋_GBK"/>
          <w:color w:val="000000"/>
          <w:sz w:val="32"/>
          <w:szCs w:val="32"/>
        </w:rPr>
        <w:t>00万元人民币；</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具有全国性或区域性的</w:t>
      </w:r>
      <w:r>
        <w:rPr>
          <w:rFonts w:hint="eastAsia" w:ascii="方正仿宋_GBK" w:hAnsi="方正仿宋_GBK" w:eastAsia="方正仿宋_GBK" w:cs="方正仿宋_GBK"/>
          <w:color w:val="000000"/>
          <w:sz w:val="32"/>
          <w:szCs w:val="32"/>
        </w:rPr>
        <w:t>采购、销售、物流、配送、结算、管理、研发、法律咨询、人力资源等一项或多项职能</w:t>
      </w:r>
      <w:r>
        <w:rPr>
          <w:rFonts w:hint="eastAsia" w:ascii="方正仿宋_GBK" w:hAnsi="方正仿宋_GBK" w:eastAsia="方正仿宋_GBK" w:cs="方正仿宋_GBK"/>
          <w:color w:val="000000"/>
          <w:sz w:val="32"/>
          <w:szCs w:val="32"/>
          <w:lang w:eastAsia="zh-CN"/>
        </w:rPr>
        <w:t>。</w:t>
      </w:r>
    </w:p>
    <w:p>
      <w:pPr>
        <w:pStyle w:val="7"/>
        <w:tabs>
          <w:tab w:val="left" w:pos="1592"/>
        </w:tabs>
        <w:spacing w:beforeLines="0" w:afterLines="0" w:line="560" w:lineRule="exact"/>
        <w:ind w:firstLine="7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第八条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申请高成长型总部须同时符合以下条件：</w:t>
      </w:r>
    </w:p>
    <w:p>
      <w:pPr>
        <w:pStyle w:val="7"/>
        <w:tabs>
          <w:tab w:val="left" w:pos="1592"/>
        </w:tabs>
        <w:spacing w:beforeLines="0" w:afterLines="0" w:line="560" w:lineRule="exact"/>
        <w:ind w:firstLine="740"/>
        <w:rPr>
          <w:rFonts w:hint="eastAsia" w:ascii="方正仿宋_GBK" w:hAnsi="方正仿宋_GBK" w:eastAsia="方正仿宋_GBK" w:cs="方正仿宋_GBK"/>
          <w:color w:val="000000"/>
          <w:sz w:val="32"/>
          <w:szCs w:val="32"/>
        </w:rPr>
      </w:pPr>
      <w:bookmarkStart w:id="14" w:name="bookmark34"/>
      <w:r>
        <w:rPr>
          <w:rFonts w:hint="eastAsia" w:ascii="方正仿宋_GBK" w:hAnsi="方正仿宋_GBK" w:eastAsia="方正仿宋_GBK" w:cs="方正仿宋_GBK"/>
          <w:color w:val="000000"/>
          <w:sz w:val="32"/>
          <w:szCs w:val="32"/>
        </w:rPr>
        <w:t>（</w:t>
      </w:r>
      <w:bookmarkEnd w:id="14"/>
      <w:r>
        <w:rPr>
          <w:rFonts w:hint="eastAsia" w:ascii="方正仿宋_GBK" w:hAnsi="方正仿宋_GBK" w:eastAsia="方正仿宋_GBK" w:cs="方正仿宋_GBK"/>
          <w:color w:val="000000"/>
          <w:sz w:val="32"/>
          <w:szCs w:val="32"/>
        </w:rPr>
        <w:t>一）在我省</w:t>
      </w:r>
      <w:r>
        <w:rPr>
          <w:rFonts w:hint="eastAsia" w:ascii="方正仿宋_GBK" w:hAnsi="方正仿宋_GBK" w:eastAsia="方正仿宋_GBK" w:cs="方正仿宋_GBK"/>
          <w:color w:val="000000"/>
          <w:sz w:val="32"/>
          <w:szCs w:val="32"/>
          <w:lang w:val="en-US" w:eastAsia="zh-CN"/>
        </w:rPr>
        <w:t>登记注册成立</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具有独立法人资格；</w:t>
      </w:r>
    </w:p>
    <w:p>
      <w:pPr>
        <w:pStyle w:val="7"/>
        <w:tabs>
          <w:tab w:val="left" w:pos="1592"/>
        </w:tabs>
        <w:spacing w:beforeLines="0" w:afterLines="0" w:line="560" w:lineRule="exact"/>
        <w:ind w:firstLine="740"/>
        <w:rPr>
          <w:rFonts w:hint="eastAsia" w:ascii="方正仿宋_GBK" w:hAnsi="方正仿宋_GBK" w:eastAsia="方正仿宋_GBK" w:cs="方正仿宋_GBK"/>
          <w:color w:val="000000"/>
          <w:sz w:val="32"/>
          <w:szCs w:val="32"/>
        </w:rPr>
      </w:pPr>
      <w:bookmarkStart w:id="15" w:name="bookmark35"/>
      <w:r>
        <w:rPr>
          <w:rFonts w:hint="eastAsia" w:ascii="方正仿宋_GBK" w:hAnsi="方正仿宋_GBK" w:eastAsia="方正仿宋_GBK" w:cs="方正仿宋_GBK"/>
          <w:color w:val="000000"/>
          <w:sz w:val="32"/>
          <w:szCs w:val="32"/>
        </w:rPr>
        <w:t>（</w:t>
      </w:r>
      <w:bookmarkEnd w:id="15"/>
      <w:r>
        <w:rPr>
          <w:rFonts w:hint="eastAsia" w:ascii="方正仿宋_GBK" w:hAnsi="方正仿宋_GBK" w:eastAsia="方正仿宋_GBK" w:cs="方正仿宋_GBK"/>
          <w:color w:val="000000"/>
          <w:sz w:val="32"/>
          <w:szCs w:val="32"/>
        </w:rPr>
        <w:t>二）申请前一年或申请当年形成的地方财力贡献不低 于800万元人民币；</w:t>
      </w:r>
    </w:p>
    <w:p>
      <w:pPr>
        <w:pStyle w:val="7"/>
        <w:tabs>
          <w:tab w:val="left" w:pos="1592"/>
        </w:tabs>
        <w:spacing w:beforeLines="0" w:afterLines="0" w:line="560" w:lineRule="exact"/>
        <w:ind w:firstLine="740"/>
        <w:rPr>
          <w:rFonts w:hint="eastAsia" w:ascii="方正仿宋_GBK" w:hAnsi="方正仿宋_GBK" w:eastAsia="方正仿宋_GBK" w:cs="方正仿宋_GBK"/>
          <w:sz w:val="32"/>
          <w:szCs w:val="32"/>
          <w:lang w:eastAsia="zh-CN"/>
        </w:rPr>
      </w:pPr>
      <w:bookmarkStart w:id="16" w:name="bookmark36"/>
      <w:r>
        <w:rPr>
          <w:rFonts w:hint="eastAsia" w:ascii="方正仿宋_GBK" w:hAnsi="方正仿宋_GBK" w:eastAsia="方正仿宋_GBK" w:cs="方正仿宋_GBK"/>
          <w:color w:val="000000"/>
          <w:sz w:val="32"/>
          <w:szCs w:val="32"/>
        </w:rPr>
        <w:t>（</w:t>
      </w:r>
      <w:bookmarkEnd w:id="16"/>
      <w:r>
        <w:rPr>
          <w:rFonts w:hint="eastAsia" w:ascii="方正仿宋_GBK" w:hAnsi="方正仿宋_GBK" w:eastAsia="方正仿宋_GBK" w:cs="方正仿宋_GBK"/>
          <w:color w:val="000000"/>
          <w:sz w:val="32"/>
          <w:szCs w:val="32"/>
        </w:rPr>
        <w:t>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在所从事业务领域拥有核心技术知识产权（自主研发或授权），企业研发</w:t>
      </w:r>
      <w:r>
        <w:rPr>
          <w:rFonts w:hint="eastAsia" w:ascii="方正仿宋_GBK" w:hAnsi="方正仿宋_GBK" w:eastAsia="方正仿宋_GBK" w:cs="方正仿宋_GBK"/>
          <w:color w:val="000000"/>
          <w:sz w:val="32"/>
          <w:szCs w:val="32"/>
          <w:lang w:val="en-US" w:eastAsia="zh-CN"/>
        </w:rPr>
        <w:t>费用</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以审计报告数据为准）</w:t>
      </w:r>
      <w:r>
        <w:rPr>
          <w:rFonts w:hint="eastAsia" w:ascii="方正仿宋_GBK" w:hAnsi="方正仿宋_GBK" w:eastAsia="方正仿宋_GBK" w:cs="方正仿宋_GBK"/>
          <w:color w:val="000000"/>
          <w:sz w:val="32"/>
          <w:szCs w:val="32"/>
        </w:rPr>
        <w:t>不低于当年营业收入的</w:t>
      </w: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或至少已获得私募股权投资公司</w:t>
      </w:r>
      <w:r>
        <w:rPr>
          <w:rFonts w:hint="eastAsia" w:ascii="方正仿宋_GBK" w:hAnsi="方正仿宋_GBK" w:eastAsia="方正仿宋_GBK" w:cs="方正仿宋_GBK"/>
          <w:color w:val="000000"/>
          <w:sz w:val="32"/>
          <w:szCs w:val="32"/>
          <w:lang w:val="en-US" w:eastAsia="zh-CN" w:bidi="en-US"/>
        </w:rPr>
        <w:t>C</w:t>
      </w:r>
      <w:r>
        <w:rPr>
          <w:rFonts w:hint="eastAsia" w:ascii="方正仿宋_GBK" w:hAnsi="方正仿宋_GBK" w:eastAsia="方正仿宋_GBK" w:cs="方正仿宋_GBK"/>
          <w:color w:val="000000"/>
          <w:sz w:val="32"/>
          <w:szCs w:val="32"/>
        </w:rPr>
        <w:t>轮融资</w:t>
      </w:r>
      <w:r>
        <w:rPr>
          <w:rFonts w:hint="eastAsia" w:ascii="方正仿宋_GBK" w:hAnsi="方正仿宋_GBK" w:eastAsia="方正仿宋_GBK" w:cs="方正仿宋_GBK"/>
          <w:color w:val="000000"/>
          <w:sz w:val="32"/>
          <w:szCs w:val="32"/>
          <w:lang w:eastAsia="zh-CN"/>
        </w:rPr>
        <w:t>；</w:t>
      </w:r>
    </w:p>
    <w:p>
      <w:pPr>
        <w:pStyle w:val="7"/>
        <w:tabs>
          <w:tab w:val="left" w:pos="1578"/>
        </w:tabs>
        <w:spacing w:beforeLines="0" w:afterLines="0" w:line="560" w:lineRule="exact"/>
        <w:ind w:firstLine="740"/>
        <w:rPr>
          <w:rFonts w:hint="eastAsia" w:ascii="方正仿宋_GBK" w:hAnsi="方正仿宋_GBK" w:eastAsia="方正仿宋_GBK" w:cs="方正仿宋_GBK"/>
          <w:color w:val="000000"/>
          <w:sz w:val="32"/>
          <w:szCs w:val="32"/>
        </w:rPr>
      </w:pPr>
      <w:bookmarkStart w:id="17" w:name="bookmark37"/>
      <w:r>
        <w:rPr>
          <w:rFonts w:hint="eastAsia" w:ascii="方正仿宋_GBK" w:hAnsi="方正仿宋_GBK" w:eastAsia="方正仿宋_GBK" w:cs="方正仿宋_GBK"/>
          <w:color w:val="000000"/>
          <w:sz w:val="32"/>
          <w:szCs w:val="32"/>
        </w:rPr>
        <w:t>（</w:t>
      </w:r>
      <w:bookmarkEnd w:id="17"/>
      <w:r>
        <w:rPr>
          <w:rFonts w:hint="eastAsia" w:ascii="方正仿宋_GBK" w:hAnsi="方正仿宋_GBK" w:eastAsia="方正仿宋_GBK" w:cs="方正仿宋_GBK"/>
          <w:color w:val="000000"/>
          <w:sz w:val="32"/>
          <w:szCs w:val="32"/>
        </w:rPr>
        <w:t>四）具有专门的研发团队、研发机构或研发中心。</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第</w:t>
      </w:r>
      <w:r>
        <w:rPr>
          <w:rFonts w:hint="eastAsia" w:ascii="方正仿宋_GBK" w:hAnsi="方正仿宋_GBK" w:eastAsia="方正仿宋_GBK" w:cs="方正仿宋_GBK"/>
          <w:b/>
          <w:bCs/>
          <w:color w:val="000000"/>
          <w:sz w:val="32"/>
          <w:szCs w:val="32"/>
          <w:lang w:val="en-US" w:eastAsia="zh-CN"/>
        </w:rPr>
        <w:t>九</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海南国际投资</w:t>
      </w:r>
      <w:r>
        <w:rPr>
          <w:rFonts w:hint="eastAsia" w:ascii="方正仿宋_GBK" w:hAnsi="方正仿宋_GBK" w:eastAsia="方正仿宋_GBK" w:cs="方正仿宋_GBK"/>
          <w:color w:val="000000"/>
          <w:sz w:val="32"/>
          <w:szCs w:val="32"/>
          <w:lang w:val="zh-CN" w:eastAsia="zh-CN" w:bidi="zh-CN"/>
        </w:rPr>
        <w:t>单</w:t>
      </w:r>
      <w:r>
        <w:rPr>
          <w:rFonts w:hint="eastAsia" w:ascii="方正仿宋_GBK" w:hAnsi="方正仿宋_GBK" w:eastAsia="方正仿宋_GBK" w:cs="方正仿宋_GBK"/>
          <w:color w:val="000000"/>
          <w:sz w:val="32"/>
          <w:szCs w:val="32"/>
        </w:rPr>
        <w:t>一窗口</w:t>
      </w:r>
      <w:r>
        <w:rPr>
          <w:rFonts w:hint="eastAsia" w:ascii="方正仿宋_GBK" w:hAnsi="方正仿宋_GBK" w:eastAsia="方正仿宋_GBK" w:cs="方正仿宋_GBK"/>
          <w:color w:val="000000"/>
          <w:sz w:val="32"/>
          <w:szCs w:val="32"/>
          <w:lang w:val="zh-CN" w:eastAsia="zh-CN" w:bidi="zh-CN"/>
        </w:rPr>
        <w:t>设</w:t>
      </w:r>
      <w:r>
        <w:rPr>
          <w:rFonts w:hint="eastAsia" w:ascii="方正仿宋_GBK" w:hAnsi="方正仿宋_GBK" w:eastAsia="方正仿宋_GBK" w:cs="方正仿宋_GBK"/>
          <w:color w:val="000000"/>
          <w:sz w:val="32"/>
          <w:szCs w:val="32"/>
        </w:rPr>
        <w:t>立总部企业服务窗口，为企业提供咨询服务、政策解读、认定管理等</w:t>
      </w:r>
      <w:r>
        <w:rPr>
          <w:rFonts w:hint="eastAsia" w:ascii="方正仿宋_GBK" w:hAnsi="方正仿宋_GBK" w:eastAsia="方正仿宋_GBK" w:cs="方正仿宋_GBK"/>
          <w:color w:val="000000"/>
          <w:sz w:val="32"/>
          <w:szCs w:val="32"/>
          <w:lang w:val="zh-CN" w:eastAsia="zh-CN" w:bidi="zh-CN"/>
        </w:rPr>
        <w:t>“一</w:t>
      </w:r>
      <w:r>
        <w:rPr>
          <w:rFonts w:hint="eastAsia" w:ascii="方正仿宋_GBK" w:hAnsi="方正仿宋_GBK" w:eastAsia="方正仿宋_GBK" w:cs="方正仿宋_GBK"/>
          <w:color w:val="000000"/>
          <w:sz w:val="32"/>
          <w:szCs w:val="32"/>
        </w:rPr>
        <w:t>站式”服务功能。企业需通过海南国际投资单一窗口应用模块申请各类型总部企业认定。</w:t>
      </w:r>
    </w:p>
    <w:p>
      <w:pPr>
        <w:pStyle w:val="7"/>
        <w:spacing w:beforeLines="0" w:afterLines="0"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第</w:t>
      </w:r>
      <w:r>
        <w:rPr>
          <w:rFonts w:hint="eastAsia" w:ascii="方正仿宋_GBK" w:hAnsi="方正仿宋_GBK" w:eastAsia="方正仿宋_GBK" w:cs="方正仿宋_GBK"/>
          <w:b/>
          <w:bCs/>
          <w:color w:val="000000"/>
          <w:sz w:val="32"/>
          <w:szCs w:val="32"/>
          <w:lang w:val="en-US" w:eastAsia="zh-CN"/>
        </w:rPr>
        <w:t>十</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lang w:val="en-US" w:eastAsia="zh-CN"/>
        </w:rPr>
        <w:t>申请认定</w:t>
      </w:r>
      <w:r>
        <w:rPr>
          <w:rFonts w:hint="eastAsia" w:ascii="方正仿宋_GBK" w:hAnsi="方正仿宋_GBK" w:eastAsia="方正仿宋_GBK" w:cs="方正仿宋_GBK"/>
          <w:color w:val="000000"/>
          <w:sz w:val="32"/>
          <w:szCs w:val="32"/>
        </w:rPr>
        <w:t>跨国公司区域总部、大企业总部</w:t>
      </w:r>
      <w:r>
        <w:rPr>
          <w:rFonts w:hint="eastAsia" w:ascii="方正仿宋_GBK" w:hAnsi="方正仿宋_GBK" w:eastAsia="方正仿宋_GBK" w:cs="方正仿宋_GBK"/>
          <w:color w:val="000000"/>
          <w:sz w:val="32"/>
          <w:szCs w:val="32"/>
          <w:lang w:val="en-US" w:eastAsia="zh-CN"/>
        </w:rPr>
        <w:t>的，由企业属地</w:t>
      </w:r>
      <w:r>
        <w:rPr>
          <w:rFonts w:hint="eastAsia" w:ascii="方正仿宋_GBK" w:hAnsi="方正仿宋_GBK" w:eastAsia="方正仿宋_GBK" w:cs="方正仿宋_GBK"/>
          <w:color w:val="000000"/>
          <w:sz w:val="32"/>
          <w:szCs w:val="32"/>
        </w:rPr>
        <w:t>市（县）政府初审，报省联席</w:t>
      </w:r>
      <w:r>
        <w:rPr>
          <w:rFonts w:hint="eastAsia" w:ascii="方正仿宋_GBK" w:hAnsi="方正仿宋_GBK" w:eastAsia="方正仿宋_GBK" w:cs="方正仿宋_GBK"/>
          <w:color w:val="000000"/>
          <w:sz w:val="32"/>
          <w:szCs w:val="32"/>
          <w:lang w:val="en-US" w:eastAsia="zh-CN"/>
        </w:rPr>
        <w:t>办</w:t>
      </w:r>
      <w:r>
        <w:rPr>
          <w:rFonts w:hint="eastAsia" w:ascii="方正仿宋_GBK" w:hAnsi="方正仿宋_GBK" w:eastAsia="方正仿宋_GBK" w:cs="方正仿宋_GBK"/>
          <w:color w:val="000000"/>
          <w:sz w:val="32"/>
          <w:szCs w:val="32"/>
        </w:rPr>
        <w:t>审</w:t>
      </w:r>
      <w:r>
        <w:rPr>
          <w:rFonts w:hint="eastAsia" w:ascii="方正仿宋_GBK" w:hAnsi="方正仿宋_GBK" w:eastAsia="方正仿宋_GBK" w:cs="方正仿宋_GBK"/>
          <w:color w:val="000000"/>
          <w:sz w:val="32"/>
          <w:szCs w:val="32"/>
          <w:lang w:val="en-US" w:eastAsia="zh-CN"/>
        </w:rPr>
        <w:t>核</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审核</w:t>
      </w:r>
      <w:r>
        <w:rPr>
          <w:rFonts w:hint="eastAsia" w:ascii="方正仿宋_GBK" w:hAnsi="方正仿宋_GBK" w:eastAsia="方正仿宋_GBK" w:cs="方正仿宋_GBK"/>
          <w:color w:val="000000"/>
          <w:sz w:val="32"/>
          <w:szCs w:val="32"/>
        </w:rPr>
        <w:t>通过的</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予以认定。</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第十</w:t>
      </w:r>
      <w:r>
        <w:rPr>
          <w:rFonts w:hint="eastAsia" w:ascii="方正仿宋_GBK" w:hAnsi="方正仿宋_GBK" w:eastAsia="方正仿宋_GBK" w:cs="方正仿宋_GBK"/>
          <w:b/>
          <w:bCs/>
          <w:color w:val="000000"/>
          <w:sz w:val="32"/>
          <w:szCs w:val="32"/>
          <w:lang w:val="en-US" w:eastAsia="zh-CN"/>
        </w:rPr>
        <w:t>一</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申请认定综合型</w:t>
      </w:r>
      <w:r>
        <w:rPr>
          <w:rFonts w:hint="eastAsia" w:ascii="方正仿宋_GBK" w:hAnsi="方正仿宋_GBK" w:eastAsia="方正仿宋_GBK" w:cs="方正仿宋_GBK"/>
          <w:color w:val="000000"/>
          <w:sz w:val="32"/>
          <w:szCs w:val="32"/>
          <w:lang w:val="en-US" w:eastAsia="zh-CN"/>
        </w:rPr>
        <w:t>总部</w:t>
      </w:r>
      <w:r>
        <w:rPr>
          <w:rFonts w:hint="eastAsia" w:ascii="方正仿宋_GBK" w:hAnsi="方正仿宋_GBK" w:eastAsia="方正仿宋_GBK" w:cs="方正仿宋_GBK"/>
          <w:color w:val="000000"/>
          <w:sz w:val="32"/>
          <w:szCs w:val="32"/>
        </w:rPr>
        <w:t>、功能型</w:t>
      </w:r>
      <w:r>
        <w:rPr>
          <w:rFonts w:hint="eastAsia" w:ascii="方正仿宋_GBK" w:hAnsi="方正仿宋_GBK" w:eastAsia="方正仿宋_GBK" w:cs="方正仿宋_GBK"/>
          <w:color w:val="000000"/>
          <w:sz w:val="32"/>
          <w:szCs w:val="32"/>
          <w:lang w:val="en-US" w:eastAsia="zh-CN"/>
        </w:rPr>
        <w:t>总部和</w:t>
      </w:r>
      <w:r>
        <w:rPr>
          <w:rFonts w:hint="eastAsia" w:ascii="方正仿宋_GBK" w:hAnsi="方正仿宋_GBK" w:eastAsia="方正仿宋_GBK" w:cs="方正仿宋_GBK"/>
          <w:color w:val="000000"/>
          <w:sz w:val="32"/>
          <w:szCs w:val="32"/>
        </w:rPr>
        <w:t>高成长型总部的</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由企业属地</w:t>
      </w:r>
      <w:r>
        <w:rPr>
          <w:rFonts w:hint="eastAsia" w:ascii="方正仿宋_GBK" w:hAnsi="方正仿宋_GBK" w:eastAsia="方正仿宋_GBK" w:cs="方正仿宋_GBK"/>
          <w:color w:val="000000"/>
          <w:sz w:val="32"/>
          <w:szCs w:val="32"/>
        </w:rPr>
        <w:t>市（县）政府认定，报省联席办备案。</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p>
    <w:p>
      <w:pPr>
        <w:pStyle w:val="7"/>
        <w:spacing w:beforeLines="0" w:afterLines="0" w:line="560" w:lineRule="exact"/>
        <w:ind w:firstLine="0"/>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第三章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rPr>
        <w:t>支持奖励政策</w:t>
      </w:r>
    </w:p>
    <w:p>
      <w:pPr>
        <w:pStyle w:val="7"/>
        <w:spacing w:beforeLines="0" w:afterLines="0"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第十</w:t>
      </w:r>
      <w:r>
        <w:rPr>
          <w:rFonts w:hint="eastAsia" w:ascii="方正仿宋_GBK" w:hAnsi="方正仿宋_GBK" w:eastAsia="方正仿宋_GBK" w:cs="方正仿宋_GBK"/>
          <w:b/>
          <w:bCs/>
          <w:color w:val="000000"/>
          <w:sz w:val="32"/>
          <w:szCs w:val="32"/>
          <w:lang w:val="en-US" w:eastAsia="zh-CN"/>
        </w:rPr>
        <w:t>二</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认定为总部企业</w:t>
      </w:r>
      <w:r>
        <w:rPr>
          <w:rFonts w:hint="eastAsia" w:ascii="方正仿宋_GBK" w:hAnsi="方正仿宋_GBK" w:eastAsia="方正仿宋_GBK" w:cs="方正仿宋_GBK"/>
          <w:color w:val="000000"/>
          <w:sz w:val="32"/>
          <w:szCs w:val="32"/>
          <w:lang w:val="en-US" w:eastAsia="zh-CN"/>
        </w:rPr>
        <w:t>后</w:t>
      </w:r>
      <w:r>
        <w:rPr>
          <w:rFonts w:hint="eastAsia" w:ascii="方正仿宋_GBK" w:hAnsi="方正仿宋_GBK" w:eastAsia="方正仿宋_GBK" w:cs="方正仿宋_GBK"/>
          <w:color w:val="000000"/>
          <w:sz w:val="32"/>
          <w:szCs w:val="32"/>
        </w:rPr>
        <w:t>五年内，由企业属地市（县）政府按照企业的综合贡献，每年予以一定财政奖励。市（县）政府每年</w:t>
      </w:r>
      <w:r>
        <w:rPr>
          <w:rFonts w:hint="eastAsia" w:ascii="方正仿宋_GBK" w:hAnsi="方正仿宋_GBK" w:eastAsia="方正仿宋_GBK" w:cs="方正仿宋_GBK"/>
          <w:color w:val="000000"/>
          <w:sz w:val="32"/>
          <w:szCs w:val="32"/>
          <w:lang w:val="en-US" w:eastAsia="zh-CN"/>
        </w:rPr>
        <w:t>对</w:t>
      </w:r>
      <w:r>
        <w:rPr>
          <w:rFonts w:hint="eastAsia" w:ascii="方正仿宋_GBK" w:hAnsi="方正仿宋_GBK" w:eastAsia="方正仿宋_GBK" w:cs="方正仿宋_GBK"/>
          <w:color w:val="000000"/>
          <w:sz w:val="32"/>
          <w:szCs w:val="32"/>
        </w:rPr>
        <w:t>总部企业复核</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复核达标方可享受财政奖励。</w:t>
      </w:r>
    </w:p>
    <w:p>
      <w:pPr>
        <w:pStyle w:val="7"/>
        <w:spacing w:beforeLines="0" w:afterLines="0" w:line="560" w:lineRule="exact"/>
        <w:ind w:firstLine="640" w:firstLineChars="200"/>
        <w:rPr>
          <w:rFonts w:hint="eastAsia" w:ascii="方正仿宋_GBK" w:hAnsi="方正仿宋_GBK" w:eastAsia="方正仿宋_GBK" w:cs="方正仿宋_GBK"/>
          <w:color w:val="0000FF"/>
          <w:sz w:val="32"/>
          <w:szCs w:val="32"/>
          <w:lang w:eastAsia="zh-CN"/>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val="en-US" w:eastAsia="zh-CN"/>
        </w:rPr>
        <w:t>三</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鼓励新落户总部</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现有总部提升能级，达到跨国公司区域总部</w:t>
      </w:r>
      <w:r>
        <w:rPr>
          <w:rFonts w:hint="eastAsia" w:ascii="方正仿宋_GBK" w:hAnsi="方正仿宋_GBK" w:eastAsia="方正仿宋_GBK" w:cs="方正仿宋_GBK"/>
          <w:sz w:val="32"/>
          <w:szCs w:val="32"/>
          <w:lang w:val="en-US" w:eastAsia="zh-CN"/>
        </w:rPr>
        <w:t>或</w:t>
      </w:r>
      <w:r>
        <w:rPr>
          <w:rFonts w:hint="eastAsia" w:ascii="方正仿宋_GBK" w:hAnsi="方正仿宋_GBK" w:eastAsia="方正仿宋_GBK" w:cs="方正仿宋_GBK"/>
          <w:sz w:val="32"/>
          <w:szCs w:val="32"/>
        </w:rPr>
        <w:t>大企业总部认定标准的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可重新予以认定，自认定</w:t>
      </w:r>
      <w:r>
        <w:rPr>
          <w:rFonts w:hint="eastAsia" w:ascii="方正仿宋_GBK" w:hAnsi="方正仿宋_GBK" w:eastAsia="方正仿宋_GBK" w:cs="方正仿宋_GBK"/>
          <w:sz w:val="32"/>
          <w:szCs w:val="32"/>
          <w:lang w:val="en-US" w:eastAsia="zh-CN"/>
        </w:rPr>
        <w:t>当</w:t>
      </w:r>
      <w:r>
        <w:rPr>
          <w:rFonts w:hint="eastAsia" w:ascii="方正仿宋_GBK" w:hAnsi="方正仿宋_GBK" w:eastAsia="方正仿宋_GBK" w:cs="方正仿宋_GBK"/>
          <w:sz w:val="32"/>
          <w:szCs w:val="32"/>
        </w:rPr>
        <w:t>年起按照新总部类型在剩余年限内从优获得奖励</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但不得重复</w:t>
      </w:r>
      <w:r>
        <w:rPr>
          <w:rFonts w:hint="eastAsia" w:ascii="方正仿宋_GBK" w:hAnsi="方正仿宋_GBK" w:eastAsia="方正仿宋_GBK" w:cs="方正仿宋_GBK"/>
          <w:sz w:val="32"/>
          <w:szCs w:val="32"/>
          <w:lang w:eastAsia="zh-CN"/>
        </w:rPr>
        <w:t>。</w:t>
      </w:r>
    </w:p>
    <w:p>
      <w:pPr>
        <w:pStyle w:val="7"/>
        <w:spacing w:beforeLines="0" w:afterLines="0"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第十</w:t>
      </w:r>
      <w:r>
        <w:rPr>
          <w:rFonts w:hint="eastAsia" w:ascii="方正仿宋_GBK" w:hAnsi="方正仿宋_GBK" w:eastAsia="方正仿宋_GBK" w:cs="方正仿宋_GBK"/>
          <w:b/>
          <w:bCs/>
          <w:color w:val="000000"/>
          <w:sz w:val="32"/>
          <w:szCs w:val="32"/>
          <w:lang w:val="en-US" w:eastAsia="zh-CN"/>
        </w:rPr>
        <w:t>四</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认定为总部企业后，由属地市（县）</w:t>
      </w:r>
      <w:r>
        <w:rPr>
          <w:rFonts w:hint="eastAsia" w:ascii="方正仿宋_GBK" w:hAnsi="方正仿宋_GBK" w:eastAsia="方正仿宋_GBK" w:cs="方正仿宋_GBK"/>
          <w:color w:val="000000"/>
          <w:sz w:val="32"/>
          <w:szCs w:val="32"/>
          <w:lang w:val="en-US" w:eastAsia="zh-CN"/>
        </w:rPr>
        <w:t>政府</w:t>
      </w:r>
      <w:r>
        <w:rPr>
          <w:rFonts w:hint="eastAsia" w:ascii="方正仿宋_GBK" w:hAnsi="方正仿宋_GBK" w:eastAsia="方正仿宋_GBK" w:cs="方正仿宋_GBK"/>
          <w:color w:val="000000"/>
          <w:sz w:val="32"/>
          <w:szCs w:val="32"/>
        </w:rPr>
        <w:t>对符合条件的项目</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支持申报列入省</w:t>
      </w:r>
      <w:r>
        <w:rPr>
          <w:rFonts w:hint="eastAsia" w:ascii="方正仿宋_GBK" w:hAnsi="方正仿宋_GBK" w:eastAsia="方正仿宋_GBK" w:cs="方正仿宋_GBK"/>
          <w:color w:val="000000"/>
          <w:sz w:val="32"/>
          <w:szCs w:val="32"/>
          <w:lang w:val="en-US" w:eastAsia="zh-CN" w:bidi="zh-CN"/>
        </w:rPr>
        <w:t>重点</w:t>
      </w:r>
      <w:r>
        <w:rPr>
          <w:rFonts w:hint="eastAsia" w:ascii="方正仿宋_GBK" w:hAnsi="方正仿宋_GBK" w:eastAsia="方正仿宋_GBK" w:cs="方正仿宋_GBK"/>
          <w:color w:val="000000"/>
          <w:sz w:val="32"/>
          <w:szCs w:val="32"/>
        </w:rPr>
        <w:t>项目，予以用地保障。</w:t>
      </w:r>
    </w:p>
    <w:p>
      <w:pPr>
        <w:pStyle w:val="7"/>
        <w:spacing w:beforeLines="0" w:afterLines="0"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第十</w:t>
      </w:r>
      <w:r>
        <w:rPr>
          <w:rFonts w:hint="eastAsia" w:ascii="方正仿宋_GBK" w:hAnsi="方正仿宋_GBK" w:eastAsia="方正仿宋_GBK" w:cs="方正仿宋_GBK"/>
          <w:b/>
          <w:bCs/>
          <w:color w:val="000000"/>
          <w:sz w:val="32"/>
          <w:szCs w:val="32"/>
          <w:lang w:val="en-US" w:eastAsia="zh-CN"/>
        </w:rPr>
        <w:t>五</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跨国公司区域总部、大企业总部享有10个小客车指标的申领资格，综合型</w:t>
      </w:r>
      <w:r>
        <w:rPr>
          <w:rFonts w:hint="eastAsia" w:ascii="方正仿宋_GBK" w:hAnsi="方正仿宋_GBK" w:eastAsia="方正仿宋_GBK" w:cs="方正仿宋_GBK"/>
          <w:color w:val="000000"/>
          <w:sz w:val="32"/>
          <w:szCs w:val="32"/>
          <w:lang w:val="en-US" w:eastAsia="zh-CN"/>
        </w:rPr>
        <w:t>总部</w:t>
      </w:r>
      <w:r>
        <w:rPr>
          <w:rFonts w:hint="eastAsia" w:ascii="方正仿宋_GBK" w:hAnsi="方正仿宋_GBK" w:eastAsia="方正仿宋_GBK" w:cs="方正仿宋_GBK"/>
          <w:color w:val="000000"/>
          <w:sz w:val="32"/>
          <w:szCs w:val="32"/>
        </w:rPr>
        <w:t>、功能型</w:t>
      </w:r>
      <w:r>
        <w:rPr>
          <w:rFonts w:hint="eastAsia" w:ascii="方正仿宋_GBK" w:hAnsi="方正仿宋_GBK" w:eastAsia="方正仿宋_GBK" w:cs="方正仿宋_GBK"/>
          <w:color w:val="000000"/>
          <w:sz w:val="32"/>
          <w:szCs w:val="32"/>
          <w:lang w:val="en-US" w:eastAsia="zh-CN"/>
        </w:rPr>
        <w:t>总部</w:t>
      </w:r>
      <w:r>
        <w:rPr>
          <w:rFonts w:hint="eastAsia" w:ascii="方正仿宋_GBK" w:hAnsi="方正仿宋_GBK" w:eastAsia="方正仿宋_GBK" w:cs="方正仿宋_GBK"/>
          <w:color w:val="000000"/>
          <w:sz w:val="32"/>
          <w:szCs w:val="32"/>
        </w:rPr>
        <w:t>、高成长型总部享有6个小客车指标的申领资格。</w:t>
      </w:r>
    </w:p>
    <w:p>
      <w:pPr>
        <w:pStyle w:val="7"/>
        <w:spacing w:beforeLines="0" w:afterLines="0"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第十</w:t>
      </w:r>
      <w:r>
        <w:rPr>
          <w:rFonts w:hint="eastAsia" w:ascii="方正仿宋_GBK" w:hAnsi="方正仿宋_GBK" w:eastAsia="方正仿宋_GBK" w:cs="方正仿宋_GBK"/>
          <w:b/>
          <w:bCs/>
          <w:color w:val="000000"/>
          <w:sz w:val="32"/>
          <w:szCs w:val="32"/>
          <w:lang w:val="en-US" w:eastAsia="zh-CN"/>
        </w:rPr>
        <w:t>六</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鼓励金融机构运用融资担保、贷款贴息、风险补偿等政策工具，对总部企业提供信贷资金支持。</w:t>
      </w:r>
    </w:p>
    <w:p>
      <w:pPr>
        <w:pStyle w:val="7"/>
        <w:spacing w:beforeLines="0" w:afterLines="0"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第十</w:t>
      </w:r>
      <w:r>
        <w:rPr>
          <w:rFonts w:hint="eastAsia" w:ascii="方正仿宋_GBK" w:hAnsi="方正仿宋_GBK" w:eastAsia="方正仿宋_GBK" w:cs="方正仿宋_GBK"/>
          <w:b/>
          <w:bCs/>
          <w:color w:val="000000"/>
          <w:sz w:val="32"/>
          <w:szCs w:val="32"/>
          <w:lang w:val="en-US" w:eastAsia="zh-CN"/>
        </w:rPr>
        <w:t>七</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lang w:val="en-US" w:eastAsia="zh-CN"/>
        </w:rPr>
        <w:t>经我省认定备案的总部企业随迁人才和引进人才（统称总部企业人才）按现有相关政策享受服务保障。</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第十</w:t>
      </w:r>
      <w:r>
        <w:rPr>
          <w:rFonts w:hint="eastAsia" w:ascii="方正仿宋_GBK" w:hAnsi="方正仿宋_GBK" w:eastAsia="方正仿宋_GBK" w:cs="方正仿宋_GBK"/>
          <w:b/>
          <w:bCs/>
          <w:color w:val="000000"/>
          <w:sz w:val="32"/>
          <w:szCs w:val="32"/>
          <w:lang w:val="en-US" w:eastAsia="zh-CN"/>
        </w:rPr>
        <w:t>八</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市（县）政府要加大对总部企业的政策支持力度，对重点引进的总部企业可以采取</w:t>
      </w:r>
      <w:r>
        <w:rPr>
          <w:rFonts w:hint="eastAsia" w:ascii="方正仿宋_GBK" w:hAnsi="方正仿宋_GBK" w:eastAsia="方正仿宋_GBK" w:cs="方正仿宋_GBK"/>
          <w:color w:val="000000"/>
          <w:sz w:val="32"/>
          <w:szCs w:val="32"/>
          <w:lang w:val="zh-CN" w:eastAsia="zh-CN" w:bidi="zh-CN"/>
        </w:rPr>
        <w:t>“一事</w:t>
      </w:r>
      <w:r>
        <w:rPr>
          <w:rFonts w:hint="eastAsia" w:ascii="方正仿宋_GBK" w:hAnsi="方正仿宋_GBK" w:eastAsia="方正仿宋_GBK" w:cs="方正仿宋_GBK"/>
          <w:color w:val="000000"/>
          <w:sz w:val="32"/>
          <w:szCs w:val="32"/>
        </w:rPr>
        <w:t>一议”方式给予重点支持。</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p>
    <w:p>
      <w:pPr>
        <w:pStyle w:val="7"/>
        <w:spacing w:beforeLines="0" w:afterLines="0" w:line="560" w:lineRule="exact"/>
        <w:ind w:firstLine="0"/>
        <w:jc w:val="center"/>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第四章  申请材料</w:t>
      </w:r>
    </w:p>
    <w:p>
      <w:pPr>
        <w:spacing w:beforeLines="0" w:afterLines="0" w:line="560" w:lineRule="exact"/>
        <w:ind w:firstLine="640"/>
        <w:rPr>
          <w:rFonts w:ascii="Times New Roman" w:hAnsi="Times New Roman" w:eastAsia="方正仿宋_GBK"/>
          <w:color w:val="000000"/>
          <w:kern w:val="0"/>
          <w:sz w:val="32"/>
          <w:szCs w:val="32"/>
          <w:lang w:val="zh-TW" w:eastAsia="zh-TW" w:bidi="zh-TW"/>
        </w:rPr>
      </w:pPr>
      <w:r>
        <w:rPr>
          <w:rFonts w:ascii="Times New Roman" w:hAnsi="Times New Roman" w:eastAsia="方正仿宋_GBK"/>
          <w:b/>
          <w:bCs/>
          <w:color w:val="000000"/>
          <w:sz w:val="32"/>
          <w:szCs w:val="32"/>
          <w:lang w:val="zh-TW" w:eastAsia="zh-TW" w:bidi="zh-TW"/>
        </w:rPr>
        <w:t>第十九条</w:t>
      </w:r>
      <w:r>
        <w:rPr>
          <w:rFonts w:ascii="Times New Roman" w:hAnsi="Times New Roman" w:eastAsia="方正仿宋_GBK"/>
          <w:b/>
          <w:bCs/>
          <w:color w:val="000000"/>
          <w:sz w:val="32"/>
          <w:szCs w:val="32"/>
          <w:lang w:bidi="zh-TW"/>
        </w:rPr>
        <w:t xml:space="preserve">  </w:t>
      </w:r>
      <w:r>
        <w:rPr>
          <w:rFonts w:ascii="Times New Roman" w:hAnsi="Times New Roman" w:eastAsia="方正仿宋_GBK"/>
          <w:color w:val="000000"/>
          <w:kern w:val="0"/>
          <w:sz w:val="32"/>
          <w:szCs w:val="32"/>
          <w:lang w:val="zh-TW" w:eastAsia="zh-TW" w:bidi="zh-TW"/>
        </w:rPr>
        <w:t>申请总部企业资格认定的企业</w:t>
      </w:r>
      <w:r>
        <w:rPr>
          <w:rFonts w:ascii="Times New Roman" w:hAnsi="Times New Roman" w:eastAsia="方正仿宋_GBK"/>
          <w:color w:val="000000"/>
          <w:kern w:val="0"/>
          <w:sz w:val="32"/>
          <w:szCs w:val="32"/>
          <w:lang w:val="zh-TW" w:bidi="zh-TW"/>
        </w:rPr>
        <w:t>，</w:t>
      </w:r>
      <w:r>
        <w:rPr>
          <w:rFonts w:ascii="Times New Roman" w:hAnsi="Times New Roman" w:eastAsia="方正仿宋_GBK"/>
          <w:color w:val="000000"/>
          <w:kern w:val="0"/>
          <w:sz w:val="32"/>
          <w:szCs w:val="32"/>
          <w:lang w:val="zh-TW" w:eastAsia="zh-TW" w:bidi="zh-TW"/>
        </w:rPr>
        <w:t>应当提交</w:t>
      </w:r>
      <w:r>
        <w:rPr>
          <w:rFonts w:ascii="Times New Roman" w:hAnsi="Times New Roman" w:eastAsia="方正仿宋_GBK"/>
          <w:color w:val="000000"/>
          <w:kern w:val="0"/>
          <w:sz w:val="32"/>
          <w:szCs w:val="32"/>
          <w:lang w:bidi="zh-TW"/>
        </w:rPr>
        <w:t>下</w:t>
      </w:r>
      <w:r>
        <w:rPr>
          <w:rFonts w:ascii="Times New Roman" w:hAnsi="Times New Roman" w:eastAsia="方正仿宋_GBK"/>
          <w:color w:val="000000"/>
          <w:kern w:val="0"/>
          <w:sz w:val="32"/>
          <w:szCs w:val="32"/>
          <w:lang w:val="zh-TW" w:eastAsia="zh-TW" w:bidi="zh-TW"/>
        </w:rPr>
        <w:t>列材料</w:t>
      </w:r>
      <w:r>
        <w:rPr>
          <w:rFonts w:hint="eastAsia" w:ascii="Times New Roman" w:hAnsi="Times New Roman" w:eastAsia="方正仿宋_GBK"/>
          <w:color w:val="000000"/>
          <w:kern w:val="0"/>
          <w:sz w:val="32"/>
          <w:szCs w:val="32"/>
          <w:lang w:val="zh-TW" w:bidi="zh-TW"/>
        </w:rPr>
        <w:t>：</w:t>
      </w:r>
      <w:r>
        <w:rPr>
          <w:rFonts w:ascii="Times New Roman" w:hAnsi="Times New Roman" w:eastAsia="方正仿宋_GBK"/>
          <w:color w:val="000000"/>
          <w:kern w:val="0"/>
          <w:sz w:val="32"/>
          <w:szCs w:val="32"/>
          <w:lang w:val="zh-TW" w:eastAsia="zh-TW" w:bidi="zh-TW"/>
        </w:rPr>
        <w:t xml:space="preserve"> </w:t>
      </w:r>
    </w:p>
    <w:p>
      <w:pPr>
        <w:spacing w:beforeLines="0" w:afterLines="0" w:line="560" w:lineRule="exact"/>
        <w:ind w:firstLine="640"/>
        <w:rPr>
          <w:rFonts w:ascii="Times New Roman" w:hAnsi="Times New Roman" w:eastAsia="方正仿宋_GBK"/>
          <w:color w:val="000000"/>
          <w:kern w:val="0"/>
          <w:sz w:val="32"/>
          <w:szCs w:val="32"/>
          <w:lang w:val="zh-TW" w:bidi="zh-TW"/>
        </w:rPr>
      </w:pPr>
      <w:r>
        <w:rPr>
          <w:rFonts w:ascii="Times New Roman" w:hAnsi="Times New Roman" w:eastAsia="方正仿宋_GBK"/>
          <w:color w:val="000000"/>
          <w:kern w:val="0"/>
          <w:sz w:val="32"/>
          <w:szCs w:val="32"/>
          <w:lang w:val="zh-TW" w:bidi="zh-TW"/>
        </w:rPr>
        <w:t>（</w:t>
      </w:r>
      <w:r>
        <w:rPr>
          <w:rFonts w:ascii="Times New Roman" w:hAnsi="Times New Roman" w:eastAsia="方正仿宋_GBK"/>
          <w:color w:val="000000"/>
          <w:kern w:val="0"/>
          <w:sz w:val="32"/>
          <w:szCs w:val="32"/>
          <w:lang w:bidi="zh-TW"/>
        </w:rPr>
        <w:t>一）</w:t>
      </w:r>
      <w:r>
        <w:rPr>
          <w:rFonts w:ascii="Times New Roman" w:hAnsi="Times New Roman" w:eastAsia="方正仿宋_GBK"/>
          <w:color w:val="000000"/>
          <w:kern w:val="0"/>
          <w:sz w:val="32"/>
          <w:szCs w:val="32"/>
          <w:lang w:val="zh-TW" w:eastAsia="zh-TW" w:bidi="zh-TW"/>
        </w:rPr>
        <w:t>公司法定代表人签署的申请书</w:t>
      </w:r>
      <w:r>
        <w:rPr>
          <w:rFonts w:ascii="Times New Roman" w:hAnsi="Times New Roman" w:eastAsia="方正仿宋_GBK"/>
          <w:color w:val="000000"/>
          <w:kern w:val="0"/>
          <w:sz w:val="32"/>
          <w:szCs w:val="32"/>
          <w:lang w:val="zh-TW" w:bidi="zh-TW"/>
        </w:rPr>
        <w:t>；</w:t>
      </w:r>
    </w:p>
    <w:p>
      <w:pPr>
        <w:spacing w:beforeLines="0" w:afterLines="0" w:line="560" w:lineRule="exact"/>
        <w:ind w:firstLine="640"/>
        <w:rPr>
          <w:rFonts w:ascii="Times New Roman" w:hAnsi="Times New Roman" w:eastAsia="方正仿宋_GBK"/>
          <w:sz w:val="32"/>
          <w:szCs w:val="32"/>
          <w:lang w:val="zh-TW" w:eastAsia="zh-TW" w:bidi="zh-TW"/>
        </w:rPr>
      </w:pPr>
      <w:r>
        <w:rPr>
          <w:rFonts w:ascii="Times New Roman" w:hAnsi="Times New Roman" w:eastAsia="方正仿宋_GBK"/>
          <w:color w:val="000000"/>
          <w:kern w:val="0"/>
          <w:sz w:val="32"/>
          <w:szCs w:val="32"/>
          <w:lang w:val="zh-TW" w:bidi="zh-TW"/>
        </w:rPr>
        <w:t>（</w:t>
      </w:r>
      <w:r>
        <w:rPr>
          <w:rFonts w:ascii="Times New Roman" w:hAnsi="Times New Roman" w:eastAsia="方正仿宋_GBK"/>
          <w:color w:val="000000"/>
          <w:kern w:val="0"/>
          <w:sz w:val="32"/>
          <w:szCs w:val="32"/>
          <w:lang w:bidi="zh-TW"/>
        </w:rPr>
        <w:t>二）</w:t>
      </w:r>
      <w:r>
        <w:rPr>
          <w:rFonts w:ascii="Times New Roman" w:hAnsi="Times New Roman" w:eastAsia="方正仿宋_GBK"/>
          <w:color w:val="000000"/>
          <w:kern w:val="0"/>
          <w:sz w:val="32"/>
          <w:szCs w:val="32"/>
          <w:lang w:val="zh-TW" w:eastAsia="zh-TW" w:bidi="zh-TW"/>
        </w:rPr>
        <w:t>海南省总部企业认定申请表</w:t>
      </w:r>
      <w:r>
        <w:rPr>
          <w:rFonts w:ascii="Times New Roman" w:hAnsi="Times New Roman" w:eastAsia="方正仿宋_GBK"/>
          <w:color w:val="000000"/>
          <w:kern w:val="0"/>
          <w:sz w:val="32"/>
          <w:szCs w:val="32"/>
          <w:lang w:val="zh-TW" w:bidi="zh-TW"/>
        </w:rPr>
        <w:t>（</w:t>
      </w:r>
      <w:r>
        <w:rPr>
          <w:rFonts w:ascii="Times New Roman" w:hAnsi="Times New Roman" w:eastAsia="方正仿宋_GBK"/>
          <w:color w:val="000000"/>
          <w:kern w:val="0"/>
          <w:sz w:val="32"/>
          <w:szCs w:val="32"/>
          <w:lang w:val="zh-TW" w:eastAsia="zh-TW" w:bidi="zh-TW"/>
        </w:rPr>
        <w:t>详见附表</w:t>
      </w:r>
      <w:r>
        <w:rPr>
          <w:rFonts w:ascii="Times New Roman" w:hAnsi="Times New Roman" w:eastAsia="方正仿宋_GBK"/>
          <w:color w:val="000000"/>
          <w:kern w:val="0"/>
          <w:sz w:val="32"/>
          <w:szCs w:val="32"/>
          <w:lang w:val="zh-TW" w:bidi="zh-TW"/>
        </w:rPr>
        <w:t>）；</w:t>
      </w:r>
      <w:r>
        <w:rPr>
          <w:rFonts w:ascii="Times New Roman" w:hAnsi="Times New Roman" w:eastAsia="方正仿宋_GBK"/>
          <w:color w:val="000000"/>
          <w:kern w:val="0"/>
          <w:sz w:val="32"/>
          <w:szCs w:val="32"/>
          <w:lang w:val="zh-TW" w:eastAsia="zh-TW" w:bidi="zh-TW"/>
        </w:rPr>
        <w:t xml:space="preserve"> </w:t>
      </w:r>
    </w:p>
    <w:p>
      <w:pPr>
        <w:spacing w:beforeLines="0" w:afterLines="0" w:line="560" w:lineRule="exact"/>
        <w:ind w:firstLine="640" w:firstLineChars="200"/>
        <w:rPr>
          <w:rFonts w:ascii="Times New Roman" w:hAnsi="Times New Roman" w:eastAsia="方正仿宋_GBK"/>
          <w:color w:val="000000"/>
          <w:kern w:val="0"/>
          <w:sz w:val="32"/>
          <w:szCs w:val="32"/>
          <w:lang w:val="zh-TW" w:eastAsia="zh-TW" w:bidi="zh-TW"/>
        </w:rPr>
      </w:pPr>
      <w:r>
        <w:rPr>
          <w:rFonts w:ascii="Times New Roman" w:hAnsi="Times New Roman" w:eastAsia="方正仿宋_GBK"/>
          <w:color w:val="000000"/>
          <w:kern w:val="0"/>
          <w:sz w:val="32"/>
          <w:szCs w:val="32"/>
          <w:lang w:val="zh-TW" w:bidi="zh-TW"/>
        </w:rPr>
        <w:t>（</w:t>
      </w:r>
      <w:r>
        <w:rPr>
          <w:rFonts w:ascii="Times New Roman" w:hAnsi="Times New Roman" w:eastAsia="方正仿宋_GBK"/>
          <w:color w:val="000000"/>
          <w:kern w:val="0"/>
          <w:sz w:val="32"/>
          <w:szCs w:val="32"/>
          <w:lang w:bidi="zh-TW"/>
        </w:rPr>
        <w:t>三）</w:t>
      </w:r>
      <w:r>
        <w:rPr>
          <w:rFonts w:ascii="Times New Roman" w:hAnsi="Times New Roman" w:eastAsia="方正仿宋_GBK"/>
          <w:color w:val="000000"/>
          <w:kern w:val="0"/>
          <w:sz w:val="32"/>
          <w:szCs w:val="32"/>
          <w:lang w:val="zh-TW" w:eastAsia="zh-TW" w:bidi="zh-TW"/>
        </w:rPr>
        <w:t>按照</w:t>
      </w:r>
      <w:r>
        <w:rPr>
          <w:rFonts w:hint="eastAsia" w:ascii="Times New Roman" w:hAnsi="Times New Roman" w:eastAsia="方正仿宋_GBK"/>
          <w:color w:val="000000"/>
          <w:kern w:val="0"/>
          <w:sz w:val="32"/>
          <w:szCs w:val="32"/>
          <w:lang w:val="zh-TW" w:eastAsia="zh-CN" w:bidi="zh-TW"/>
        </w:rPr>
        <w:t>“</w:t>
      </w:r>
      <w:r>
        <w:rPr>
          <w:rFonts w:ascii="Times New Roman" w:hAnsi="Times New Roman" w:eastAsia="方正仿宋_GBK"/>
          <w:color w:val="000000"/>
          <w:kern w:val="0"/>
          <w:sz w:val="32"/>
          <w:szCs w:val="32"/>
          <w:lang w:bidi="zh-TW"/>
        </w:rPr>
        <w:t>海南省</w:t>
      </w:r>
      <w:r>
        <w:rPr>
          <w:rFonts w:ascii="Times New Roman" w:hAnsi="Times New Roman" w:eastAsia="方正仿宋_GBK"/>
          <w:color w:val="000000"/>
          <w:kern w:val="0"/>
          <w:sz w:val="32"/>
          <w:szCs w:val="32"/>
          <w:lang w:val="zh-TW" w:eastAsia="zh-TW" w:bidi="zh-TW"/>
        </w:rPr>
        <w:t>总部企业认定申请材料明细表</w:t>
      </w:r>
      <w:r>
        <w:rPr>
          <w:rFonts w:hint="eastAsia" w:ascii="Times New Roman" w:hAnsi="Times New Roman" w:eastAsia="方正仿宋_GBK"/>
          <w:color w:val="000000"/>
          <w:kern w:val="0"/>
          <w:sz w:val="32"/>
          <w:szCs w:val="32"/>
          <w:lang w:val="zh-TW" w:eastAsia="zh-CN" w:bidi="zh-TW"/>
        </w:rPr>
        <w:t>”</w:t>
      </w:r>
      <w:r>
        <w:rPr>
          <w:rFonts w:ascii="Times New Roman" w:hAnsi="Times New Roman" w:eastAsia="方正仿宋_GBK"/>
          <w:color w:val="000000"/>
          <w:kern w:val="0"/>
          <w:sz w:val="32"/>
          <w:szCs w:val="32"/>
          <w:lang w:val="zh-TW" w:bidi="zh-TW"/>
        </w:rPr>
        <w:t>（</w:t>
      </w:r>
      <w:r>
        <w:rPr>
          <w:rFonts w:ascii="Times New Roman" w:hAnsi="Times New Roman" w:eastAsia="方正仿宋_GBK"/>
          <w:color w:val="000000"/>
          <w:kern w:val="0"/>
          <w:sz w:val="32"/>
          <w:szCs w:val="32"/>
          <w:lang w:val="zh-TW" w:eastAsia="zh-TW" w:bidi="zh-TW"/>
        </w:rPr>
        <w:t>详见附表</w:t>
      </w:r>
      <w:r>
        <w:rPr>
          <w:rFonts w:ascii="Times New Roman" w:hAnsi="Times New Roman" w:eastAsia="方正仿宋_GBK"/>
          <w:color w:val="000000"/>
          <w:kern w:val="0"/>
          <w:sz w:val="32"/>
          <w:szCs w:val="32"/>
          <w:lang w:val="zh-TW" w:bidi="zh-TW"/>
        </w:rPr>
        <w:t>）</w:t>
      </w:r>
      <w:r>
        <w:rPr>
          <w:rFonts w:ascii="Times New Roman" w:hAnsi="Times New Roman" w:eastAsia="方正仿宋_GBK"/>
          <w:color w:val="000000"/>
          <w:kern w:val="0"/>
          <w:sz w:val="32"/>
          <w:szCs w:val="32"/>
          <w:lang w:val="zh-TW" w:eastAsia="zh-TW" w:bidi="zh-TW"/>
        </w:rPr>
        <w:t xml:space="preserve">提交的详细材料。 </w:t>
      </w:r>
    </w:p>
    <w:p>
      <w:pPr>
        <w:spacing w:beforeLines="0" w:afterLines="0" w:line="560" w:lineRule="exact"/>
        <w:ind w:firstLine="640" w:firstLineChars="200"/>
        <w:rPr>
          <w:rFonts w:ascii="Times New Roman" w:hAnsi="Times New Roman" w:eastAsia="方正仿宋_GBK"/>
          <w:color w:val="000000"/>
          <w:kern w:val="0"/>
          <w:sz w:val="32"/>
          <w:szCs w:val="32"/>
          <w:lang w:val="zh-TW" w:eastAsia="zh-TW" w:bidi="zh-TW"/>
        </w:rPr>
      </w:pPr>
    </w:p>
    <w:p>
      <w:pPr>
        <w:pStyle w:val="7"/>
        <w:spacing w:beforeLines="0" w:afterLines="0"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bCs/>
          <w:color w:val="000000"/>
          <w:sz w:val="32"/>
          <w:szCs w:val="32"/>
          <w:lang w:val="en-US" w:eastAsia="zh-CN"/>
        </w:rPr>
        <w:t xml:space="preserve"> </w:t>
      </w:r>
      <w:r>
        <w:rPr>
          <w:rFonts w:hint="eastAsia"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val="en-US" w:eastAsia="zh-CN"/>
        </w:rPr>
        <w:t>五</w:t>
      </w:r>
      <w:r>
        <w:rPr>
          <w:rFonts w:hint="eastAsia" w:ascii="方正黑体_GBK" w:hAnsi="方正黑体_GBK" w:eastAsia="方正黑体_GBK" w:cs="方正黑体_GBK"/>
          <w:color w:val="000000"/>
          <w:sz w:val="32"/>
          <w:szCs w:val="32"/>
        </w:rPr>
        <w:t>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rPr>
        <w:t>监督管理</w:t>
      </w:r>
    </w:p>
    <w:p>
      <w:pPr>
        <w:pStyle w:val="7"/>
        <w:spacing w:beforeLines="0" w:afterLines="0" w:line="560" w:lineRule="exact"/>
        <w:ind w:firstLine="66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第</w:t>
      </w:r>
      <w:r>
        <w:rPr>
          <w:rFonts w:hint="eastAsia" w:ascii="方正仿宋_GBK" w:hAnsi="方正仿宋_GBK" w:eastAsia="方正仿宋_GBK" w:cs="方正仿宋_GBK"/>
          <w:b/>
          <w:bCs/>
          <w:color w:val="000000"/>
          <w:sz w:val="32"/>
          <w:szCs w:val="32"/>
          <w:lang w:val="en-US" w:eastAsia="zh-CN"/>
        </w:rPr>
        <w:t>二十</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海南自由贸易港招商工作和促进总部经济发展联席会议负责指导和监督总部企业的认定管理工作，对认定管理中的重大事项进行决策。省联席</w:t>
      </w:r>
      <w:r>
        <w:rPr>
          <w:rFonts w:hint="eastAsia" w:ascii="方正仿宋_GBK" w:hAnsi="方正仿宋_GBK" w:eastAsia="方正仿宋_GBK" w:cs="方正仿宋_GBK"/>
          <w:color w:val="000000"/>
          <w:sz w:val="32"/>
          <w:szCs w:val="32"/>
          <w:lang w:val="en-US" w:eastAsia="zh-CN"/>
        </w:rPr>
        <w:t>办</w:t>
      </w:r>
      <w:r>
        <w:rPr>
          <w:rFonts w:hint="eastAsia" w:ascii="方正仿宋_GBK" w:hAnsi="方正仿宋_GBK" w:eastAsia="方正仿宋_GBK" w:cs="方正仿宋_GBK"/>
          <w:color w:val="000000"/>
          <w:sz w:val="32"/>
          <w:szCs w:val="32"/>
        </w:rPr>
        <w:t>设在省商务厅，</w:t>
      </w:r>
      <w:r>
        <w:rPr>
          <w:rFonts w:hint="eastAsia" w:ascii="方正仿宋_GBK" w:hAnsi="方正仿宋_GBK" w:eastAsia="方正仿宋_GBK" w:cs="方正仿宋_GBK"/>
          <w:color w:val="000000"/>
          <w:sz w:val="32"/>
          <w:szCs w:val="32"/>
          <w:lang w:val="en-US" w:eastAsia="zh-CN"/>
        </w:rPr>
        <w:t>负责</w:t>
      </w:r>
      <w:r>
        <w:rPr>
          <w:rFonts w:hint="eastAsia" w:ascii="方正仿宋_GBK" w:hAnsi="方正仿宋_GBK" w:eastAsia="方正仿宋_GBK" w:cs="方正仿宋_GBK"/>
          <w:color w:val="000000"/>
          <w:sz w:val="32"/>
          <w:szCs w:val="32"/>
        </w:rPr>
        <w:t>总部企业认定管理日常工作。市（县）政府是促进总部经济发展工作的实施主体，</w:t>
      </w:r>
      <w:r>
        <w:rPr>
          <w:rFonts w:hint="eastAsia" w:ascii="方正仿宋_GBK" w:hAnsi="方正仿宋_GBK" w:eastAsia="方正仿宋_GBK" w:cs="方正仿宋_GBK"/>
          <w:color w:val="000000"/>
          <w:sz w:val="32"/>
          <w:szCs w:val="32"/>
          <w:lang w:val="en-US" w:eastAsia="zh-CN"/>
        </w:rPr>
        <w:t>承担</w:t>
      </w:r>
      <w:r>
        <w:rPr>
          <w:rFonts w:hint="eastAsia" w:ascii="方正仿宋_GBK" w:hAnsi="方正仿宋_GBK" w:eastAsia="方正仿宋_GBK" w:cs="方正仿宋_GBK"/>
          <w:color w:val="000000"/>
          <w:sz w:val="32"/>
          <w:szCs w:val="32"/>
        </w:rPr>
        <w:t>本市（县）总部企业咨询服务、申报受理、核查认定、事中事后监管和总部经济管理队伍建设等职责。</w:t>
      </w:r>
    </w:p>
    <w:p>
      <w:pPr>
        <w:pStyle w:val="7"/>
        <w:spacing w:beforeLines="0" w:afterLines="0" w:line="560" w:lineRule="exact"/>
        <w:ind w:firstLine="66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b/>
          <w:bCs/>
          <w:sz w:val="32"/>
          <w:szCs w:val="32"/>
        </w:rPr>
        <w:t>第二十</w:t>
      </w:r>
      <w:r>
        <w:rPr>
          <w:rFonts w:hint="eastAsia" w:ascii="方正仿宋_GBK" w:hAnsi="方正仿宋_GBK" w:eastAsia="方正仿宋_GBK" w:cs="方正仿宋_GBK"/>
          <w:b/>
          <w:bCs/>
          <w:sz w:val="32"/>
          <w:szCs w:val="32"/>
          <w:lang w:val="en-US" w:eastAsia="zh-CN"/>
        </w:rPr>
        <w:t>一</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color w:val="0000FF"/>
          <w:sz w:val="32"/>
          <w:szCs w:val="32"/>
          <w:lang w:val="en-US" w:eastAsia="zh-CN"/>
        </w:rPr>
        <w:t xml:space="preserve">  </w:t>
      </w:r>
      <w:r>
        <w:rPr>
          <w:rFonts w:hint="eastAsia" w:ascii="方正仿宋_GBK" w:hAnsi="方正仿宋_GBK" w:eastAsia="方正仿宋_GBK" w:cs="方正仿宋_GBK"/>
          <w:color w:val="000000"/>
          <w:sz w:val="32"/>
          <w:szCs w:val="32"/>
        </w:rPr>
        <w:t>市（县）政府每年上半年对总部企业进行复核（与本办法认定标准一致），并将复核结果报省联席办。</w:t>
      </w:r>
      <w:r>
        <w:rPr>
          <w:rFonts w:hint="eastAsia" w:ascii="方正仿宋_GBK" w:hAnsi="方正仿宋_GBK" w:eastAsia="方正仿宋_GBK" w:cs="方正仿宋_GBK"/>
          <w:color w:val="000000"/>
          <w:sz w:val="32"/>
          <w:szCs w:val="32"/>
          <w:lang w:val="en-US" w:eastAsia="zh-CN"/>
        </w:rPr>
        <w:t>本</w:t>
      </w:r>
      <w:r>
        <w:rPr>
          <w:rFonts w:hint="eastAsia" w:ascii="方正仿宋_GBK" w:hAnsi="方正仿宋_GBK" w:eastAsia="方正仿宋_GBK" w:cs="方正仿宋_GBK"/>
          <w:color w:val="000000"/>
          <w:sz w:val="32"/>
          <w:szCs w:val="32"/>
        </w:rPr>
        <w:t>办法出台前</w:t>
      </w:r>
      <w:r>
        <w:rPr>
          <w:rFonts w:hint="eastAsia" w:ascii="方正仿宋_GBK" w:hAnsi="方正仿宋_GBK" w:eastAsia="方正仿宋_GBK" w:cs="方正仿宋_GBK"/>
          <w:color w:val="000000"/>
          <w:sz w:val="32"/>
          <w:szCs w:val="32"/>
          <w:lang w:val="en-US" w:eastAsia="zh-CN"/>
        </w:rPr>
        <w:t>已</w:t>
      </w:r>
      <w:r>
        <w:rPr>
          <w:rFonts w:hint="eastAsia" w:ascii="方正仿宋_GBK" w:hAnsi="方正仿宋_GBK" w:eastAsia="方正仿宋_GBK" w:cs="方正仿宋_GBK"/>
          <w:color w:val="000000"/>
          <w:sz w:val="32"/>
          <w:szCs w:val="32"/>
        </w:rPr>
        <w:t>认定的总部企业</w:t>
      </w:r>
      <w:r>
        <w:rPr>
          <w:rFonts w:hint="eastAsia" w:ascii="方正仿宋_GBK" w:hAnsi="方正仿宋_GBK" w:eastAsia="方正仿宋_GBK" w:cs="方正仿宋_GBK"/>
          <w:color w:val="000000"/>
          <w:sz w:val="32"/>
          <w:szCs w:val="32"/>
          <w:lang w:val="en-US" w:eastAsia="zh-CN"/>
        </w:rPr>
        <w:t>可选择适用本办法或</w:t>
      </w:r>
      <w:r>
        <w:rPr>
          <w:rFonts w:hint="eastAsia" w:ascii="方正仿宋_GBK" w:hAnsi="方正仿宋_GBK" w:eastAsia="方正仿宋_GBK" w:cs="方正仿宋_GBK"/>
          <w:color w:val="000000"/>
          <w:sz w:val="32"/>
          <w:szCs w:val="32"/>
        </w:rPr>
        <w:t>《海南省总部企业认定管理办法》（琼商通函〔2018〕473号）进行复核。发现有下列</w:t>
      </w:r>
      <w:r>
        <w:rPr>
          <w:rFonts w:hint="eastAsia" w:ascii="方正仿宋_GBK" w:hAnsi="方正仿宋_GBK" w:eastAsia="方正仿宋_GBK" w:cs="方正仿宋_GBK"/>
          <w:color w:val="000000"/>
          <w:sz w:val="32"/>
          <w:szCs w:val="32"/>
          <w:lang w:eastAsia="zh-CN"/>
        </w:rPr>
        <w:t>情形</w:t>
      </w:r>
      <w:r>
        <w:rPr>
          <w:rFonts w:hint="eastAsia" w:ascii="方正仿宋_GBK" w:hAnsi="方正仿宋_GBK" w:eastAsia="方正仿宋_GBK" w:cs="方正仿宋_GBK"/>
          <w:color w:val="000000"/>
          <w:sz w:val="32"/>
          <w:szCs w:val="32"/>
        </w:rPr>
        <w:t>之一的，取消总部企业资格，终止享受优惠政策</w:t>
      </w:r>
      <w:bookmarkStart w:id="18" w:name="bookmark50"/>
      <w:r>
        <w:rPr>
          <w:rFonts w:hint="eastAsia" w:ascii="方正仿宋_GBK" w:hAnsi="方正仿宋_GBK" w:eastAsia="方正仿宋_GBK" w:cs="方正仿宋_GBK"/>
          <w:color w:val="000000"/>
          <w:sz w:val="32"/>
          <w:szCs w:val="32"/>
          <w:lang w:eastAsia="zh-CN"/>
        </w:rPr>
        <w:t>：</w:t>
      </w:r>
    </w:p>
    <w:bookmarkEnd w:id="18"/>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一）</w:t>
      </w:r>
      <w:r>
        <w:rPr>
          <w:rFonts w:hint="eastAsia" w:ascii="方正仿宋_GBK" w:hAnsi="方正仿宋_GBK" w:eastAsia="方正仿宋_GBK" w:cs="方正仿宋_GBK"/>
          <w:color w:val="000000"/>
          <w:spacing w:val="-11"/>
          <w:sz w:val="32"/>
          <w:szCs w:val="32"/>
        </w:rPr>
        <w:t>企业隐瞒真实情况或提供虚假材料获得资格认定的；</w:t>
      </w:r>
      <w:bookmarkStart w:id="19" w:name="bookmark51"/>
    </w:p>
    <w:bookmarkEnd w:id="19"/>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w:t>
      </w:r>
      <w:r>
        <w:rPr>
          <w:rFonts w:hint="eastAsia" w:ascii="方正仿宋_GBK" w:hAnsi="方正仿宋_GBK" w:eastAsia="方正仿宋_GBK" w:cs="方正仿宋_GBK"/>
          <w:color w:val="000000"/>
          <w:sz w:val="32"/>
          <w:szCs w:val="32"/>
        </w:rPr>
        <w:t>无特殊原因经营</w:t>
      </w:r>
      <w:r>
        <w:rPr>
          <w:rFonts w:hint="eastAsia" w:ascii="方正仿宋_GBK" w:hAnsi="方正仿宋_GBK" w:eastAsia="方正仿宋_GBK" w:cs="方正仿宋_GBK"/>
          <w:color w:val="000000"/>
          <w:sz w:val="32"/>
          <w:szCs w:val="32"/>
          <w:lang w:val="en-US" w:eastAsia="zh-CN"/>
        </w:rPr>
        <w:t>期限</w:t>
      </w:r>
      <w:r>
        <w:rPr>
          <w:rFonts w:hint="eastAsia" w:ascii="方正仿宋_GBK" w:hAnsi="方正仿宋_GBK" w:eastAsia="方正仿宋_GBK" w:cs="方正仿宋_GBK"/>
          <w:color w:val="000000"/>
          <w:sz w:val="32"/>
          <w:szCs w:val="32"/>
        </w:rPr>
        <w:t>不满十年</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提前</w:t>
      </w:r>
      <w:r>
        <w:rPr>
          <w:rFonts w:hint="eastAsia" w:ascii="方正仿宋_GBK" w:hAnsi="方正仿宋_GBK" w:eastAsia="方正仿宋_GBK" w:cs="方正仿宋_GBK"/>
          <w:color w:val="000000"/>
          <w:sz w:val="32"/>
          <w:szCs w:val="32"/>
          <w:lang w:val="en-US" w:eastAsia="zh-CN"/>
        </w:rPr>
        <w:t>向登记机关办理</w:t>
      </w:r>
      <w:r>
        <w:rPr>
          <w:rFonts w:hint="eastAsia" w:ascii="方正仿宋_GBK" w:hAnsi="方正仿宋_GBK" w:eastAsia="方正仿宋_GBK" w:cs="方正仿宋_GBK"/>
          <w:color w:val="000000"/>
          <w:sz w:val="32"/>
          <w:szCs w:val="32"/>
        </w:rPr>
        <w:t>歇业</w:t>
      </w:r>
      <w:r>
        <w:rPr>
          <w:rFonts w:hint="eastAsia" w:ascii="方正仿宋_GBK" w:hAnsi="方正仿宋_GBK" w:eastAsia="方正仿宋_GBK" w:cs="方正仿宋_GBK"/>
          <w:color w:val="000000"/>
          <w:sz w:val="32"/>
          <w:szCs w:val="32"/>
          <w:lang w:val="en-US" w:eastAsia="zh-CN"/>
        </w:rPr>
        <w:t>备案登记，</w:t>
      </w:r>
      <w:r>
        <w:rPr>
          <w:rFonts w:hint="eastAsia" w:ascii="方正仿宋_GBK" w:hAnsi="方正仿宋_GBK" w:eastAsia="方正仿宋_GBK" w:cs="方正仿宋_GBK"/>
          <w:color w:val="000000"/>
          <w:sz w:val="32"/>
          <w:szCs w:val="32"/>
        </w:rPr>
        <w:t>或注销税务登记移往省外</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或</w:t>
      </w:r>
      <w:r>
        <w:rPr>
          <w:rFonts w:hint="eastAsia" w:ascii="方正仿宋_GBK" w:hAnsi="方正仿宋_GBK" w:eastAsia="方正仿宋_GBK" w:cs="方正仿宋_GBK"/>
          <w:color w:val="000000"/>
          <w:sz w:val="32"/>
          <w:szCs w:val="32"/>
        </w:rPr>
        <w:t>实际经营移往省外的；</w:t>
      </w:r>
      <w:bookmarkStart w:id="20" w:name="bookmark52"/>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bookmarkEnd w:id="20"/>
      <w:r>
        <w:rPr>
          <w:rFonts w:hint="eastAsia" w:ascii="方正仿宋_GBK" w:hAnsi="方正仿宋_GBK" w:eastAsia="方正仿宋_GBK" w:cs="方正仿宋_GBK"/>
          <w:color w:val="000000"/>
          <w:sz w:val="32"/>
          <w:szCs w:val="32"/>
        </w:rPr>
        <w:t>三）连续两年复核不合格的；</w:t>
      </w:r>
      <w:bookmarkStart w:id="21" w:name="bookmark53"/>
    </w:p>
    <w:p>
      <w:pPr>
        <w:pStyle w:val="7"/>
        <w:spacing w:beforeLines="0" w:afterLines="0"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w:t>
      </w:r>
      <w:bookmarkEnd w:id="21"/>
      <w:r>
        <w:rPr>
          <w:rFonts w:hint="eastAsia" w:ascii="方正仿宋_GBK" w:hAnsi="方正仿宋_GBK" w:eastAsia="方正仿宋_GBK" w:cs="方正仿宋_GBK"/>
          <w:color w:val="000000"/>
          <w:sz w:val="32"/>
          <w:szCs w:val="32"/>
        </w:rPr>
        <w:t>四）其他违反国家法律、法规且情节严重的。</w:t>
      </w:r>
    </w:p>
    <w:p>
      <w:pPr>
        <w:pStyle w:val="7"/>
        <w:spacing w:beforeLines="0" w:afterLines="0"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w:t>
      </w:r>
      <w:r>
        <w:rPr>
          <w:rFonts w:hint="eastAsia" w:ascii="方正仿宋_GBK" w:hAnsi="方正仿宋_GBK" w:eastAsia="方正仿宋_GBK" w:cs="方正仿宋_GBK"/>
          <w:b/>
          <w:bCs/>
          <w:sz w:val="32"/>
          <w:szCs w:val="32"/>
          <w:lang w:val="en-US" w:eastAsia="zh-CN"/>
        </w:rPr>
        <w:t>二</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总部企业被撤销</w:t>
      </w:r>
      <w:r>
        <w:rPr>
          <w:rFonts w:hint="eastAsia" w:ascii="方正仿宋_GBK" w:hAnsi="方正仿宋_GBK" w:eastAsia="方正仿宋_GBK" w:cs="方正仿宋_GBK"/>
          <w:sz w:val="32"/>
          <w:szCs w:val="32"/>
          <w:lang w:val="en-US" w:eastAsia="zh-CN"/>
        </w:rPr>
        <w:t>资格</w:t>
      </w:r>
      <w:r>
        <w:rPr>
          <w:rFonts w:hint="eastAsia" w:ascii="方正仿宋_GBK" w:hAnsi="方正仿宋_GBK" w:eastAsia="方正仿宋_GBK" w:cs="方正仿宋_GBK"/>
          <w:sz w:val="32"/>
          <w:szCs w:val="32"/>
        </w:rPr>
        <w:t>的，自被撤销</w:t>
      </w:r>
      <w:r>
        <w:rPr>
          <w:rFonts w:hint="eastAsia" w:ascii="方正仿宋_GBK" w:hAnsi="方正仿宋_GBK" w:eastAsia="方正仿宋_GBK" w:cs="方正仿宋_GBK"/>
          <w:sz w:val="32"/>
          <w:szCs w:val="32"/>
          <w:lang w:val="en-US" w:eastAsia="zh-CN"/>
        </w:rPr>
        <w:t>之日</w:t>
      </w:r>
      <w:r>
        <w:rPr>
          <w:rFonts w:hint="eastAsia" w:ascii="方正仿宋_GBK" w:hAnsi="方正仿宋_GBK" w:eastAsia="方正仿宋_GBK" w:cs="方正仿宋_GBK"/>
          <w:sz w:val="32"/>
          <w:szCs w:val="32"/>
        </w:rPr>
        <w:t>起五年内不得再次申请。</w:t>
      </w:r>
    </w:p>
    <w:p>
      <w:pPr>
        <w:pStyle w:val="7"/>
        <w:spacing w:beforeLines="0" w:afterLines="0"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color w:val="000000"/>
          <w:sz w:val="32"/>
          <w:szCs w:val="32"/>
          <w:lang w:val="en-US" w:eastAsia="zh-CN"/>
        </w:rPr>
        <w:t xml:space="preserve">第二十三条  </w:t>
      </w:r>
      <w:r>
        <w:rPr>
          <w:rFonts w:hint="eastAsia" w:ascii="方正仿宋_GBK" w:hAnsi="方正仿宋_GBK" w:eastAsia="方正仿宋_GBK" w:cs="方正仿宋_GBK"/>
          <w:sz w:val="32"/>
          <w:szCs w:val="32"/>
          <w:lang w:val="en-US" w:eastAsia="zh-CN"/>
        </w:rPr>
        <w:t>总部企业认定后，新增海南省内分公司、控股50%以上子公司时，要及时告知市县商务部门，确保应统尽统。</w:t>
      </w:r>
    </w:p>
    <w:p>
      <w:pPr>
        <w:pStyle w:val="7"/>
        <w:spacing w:beforeLines="0" w:afterLines="0" w:line="560" w:lineRule="exact"/>
        <w:ind w:firstLine="66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第二十</w:t>
      </w:r>
      <w:r>
        <w:rPr>
          <w:rFonts w:hint="eastAsia" w:ascii="方正仿宋_GBK" w:hAnsi="方正仿宋_GBK" w:eastAsia="方正仿宋_GBK" w:cs="方正仿宋_GBK"/>
          <w:b/>
          <w:bCs/>
          <w:color w:val="000000"/>
          <w:sz w:val="32"/>
          <w:szCs w:val="32"/>
          <w:lang w:val="en-US" w:eastAsia="zh-CN"/>
        </w:rPr>
        <w:t>四</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对采用违法违规手段骗取奖励资金和享受其他支持政策的，经核实后，取消总部企业资格，终止享受优惠政策，责令退回奖补，并依据生效法律文书记录其失信行为，推送至海南自贸港信用信息共享平台依法依规公开公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涉嫌犯罪的，依法移送司法机关处理。</w:t>
      </w:r>
    </w:p>
    <w:p>
      <w:pPr>
        <w:pStyle w:val="7"/>
        <w:spacing w:beforeLines="0" w:afterLines="0" w:line="560" w:lineRule="exact"/>
        <w:ind w:firstLine="660"/>
        <w:rPr>
          <w:rFonts w:hint="eastAsia" w:ascii="方正仿宋_GBK" w:hAnsi="方正仿宋_GBK" w:eastAsia="方正仿宋_GBK" w:cs="方正仿宋_GBK"/>
          <w:color w:val="000000"/>
          <w:sz w:val="32"/>
          <w:szCs w:val="32"/>
        </w:rPr>
      </w:pPr>
    </w:p>
    <w:p>
      <w:pPr>
        <w:pStyle w:val="7"/>
        <w:spacing w:beforeLines="0" w:afterLines="0"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val="en-US" w:eastAsia="zh-CN"/>
        </w:rPr>
        <w:t>六</w:t>
      </w:r>
      <w:r>
        <w:rPr>
          <w:rFonts w:hint="eastAsia" w:ascii="方正黑体_GBK" w:hAnsi="方正黑体_GBK" w:eastAsia="方正黑体_GBK" w:cs="方正黑体_GBK"/>
          <w:color w:val="000000"/>
          <w:sz w:val="32"/>
          <w:szCs w:val="32"/>
        </w:rPr>
        <w:t>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rPr>
        <w:t>附则</w:t>
      </w:r>
    </w:p>
    <w:p>
      <w:pPr>
        <w:pStyle w:val="7"/>
        <w:spacing w:beforeLines="0" w:afterLines="0" w:line="560" w:lineRule="exact"/>
        <w:ind w:firstLine="6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第二十</w:t>
      </w:r>
      <w:r>
        <w:rPr>
          <w:rFonts w:hint="eastAsia" w:ascii="方正仿宋_GBK" w:hAnsi="方正仿宋_GBK" w:eastAsia="方正仿宋_GBK" w:cs="方正仿宋_GBK"/>
          <w:b/>
          <w:bCs/>
          <w:color w:val="000000"/>
          <w:sz w:val="32"/>
          <w:szCs w:val="32"/>
          <w:lang w:val="en-US" w:eastAsia="zh-CN"/>
        </w:rPr>
        <w:t>五</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总部企业营业收入不包括房地产开发经营业务相关收入，统计范围为总部企业及全省范围内的分公司、</w:t>
      </w:r>
      <w:r>
        <w:rPr>
          <w:rFonts w:hint="eastAsia" w:ascii="方正仿宋_GBK" w:hAnsi="方正仿宋_GBK" w:eastAsia="方正仿宋_GBK" w:cs="方正仿宋_GBK"/>
          <w:color w:val="000000"/>
          <w:sz w:val="32"/>
          <w:szCs w:val="32"/>
          <w:lang w:val="en-US" w:eastAsia="zh-CN"/>
        </w:rPr>
        <w:t>占</w:t>
      </w:r>
      <w:r>
        <w:rPr>
          <w:rFonts w:hint="eastAsia" w:ascii="方正仿宋_GBK" w:hAnsi="方正仿宋_GBK" w:eastAsia="方正仿宋_GBK" w:cs="方正仿宋_GBK"/>
          <w:color w:val="000000"/>
          <w:sz w:val="32"/>
          <w:szCs w:val="32"/>
        </w:rPr>
        <w:t>股50%（不含）以上的子公司。母公司与子公司均申请总部企业的，营业收入不予重复计算。</w:t>
      </w:r>
    </w:p>
    <w:p>
      <w:pPr>
        <w:pStyle w:val="7"/>
        <w:spacing w:beforeLines="0" w:afterLines="0" w:line="560" w:lineRule="exact"/>
        <w:ind w:firstLine="6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第二十</w:t>
      </w:r>
      <w:r>
        <w:rPr>
          <w:rFonts w:hint="eastAsia" w:ascii="方正仿宋_GBK" w:hAnsi="方正仿宋_GBK" w:eastAsia="方正仿宋_GBK" w:cs="方正仿宋_GBK"/>
          <w:b/>
          <w:bCs/>
          <w:color w:val="000000"/>
          <w:sz w:val="32"/>
          <w:szCs w:val="32"/>
          <w:lang w:val="en-US" w:eastAsia="zh-CN"/>
        </w:rPr>
        <w:t>六</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总部企业地方财力贡献计算范围为企业年</w:t>
      </w:r>
      <w:r>
        <w:rPr>
          <w:rFonts w:hint="eastAsia" w:ascii="方正仿宋_GBK" w:hAnsi="方正仿宋_GBK" w:eastAsia="方正仿宋_GBK" w:cs="方正仿宋_GBK"/>
          <w:color w:val="000000"/>
          <w:sz w:val="32"/>
          <w:szCs w:val="32"/>
          <w:lang w:val="en-US" w:eastAsia="zh-CN"/>
        </w:rPr>
        <w:t>实际</w:t>
      </w:r>
      <w:r>
        <w:rPr>
          <w:rFonts w:hint="eastAsia" w:ascii="方正仿宋_GBK" w:hAnsi="方正仿宋_GBK" w:eastAsia="方正仿宋_GBK" w:cs="方正仿宋_GBK"/>
          <w:color w:val="000000"/>
          <w:sz w:val="32"/>
          <w:szCs w:val="32"/>
        </w:rPr>
        <w:t>缴纳税</w:t>
      </w:r>
      <w:r>
        <w:rPr>
          <w:rFonts w:hint="eastAsia" w:ascii="方正仿宋_GBK" w:hAnsi="方正仿宋_GBK" w:eastAsia="方正仿宋_GBK" w:cs="方正仿宋_GBK"/>
          <w:color w:val="000000"/>
          <w:sz w:val="32"/>
          <w:szCs w:val="32"/>
          <w:lang w:val="en-US" w:eastAsia="zh-CN"/>
        </w:rPr>
        <w:t>收</w:t>
      </w:r>
      <w:r>
        <w:rPr>
          <w:rFonts w:hint="eastAsia" w:ascii="方正仿宋_GBK" w:hAnsi="方正仿宋_GBK" w:eastAsia="方正仿宋_GBK" w:cs="方正仿宋_GBK"/>
          <w:color w:val="000000"/>
          <w:sz w:val="32"/>
          <w:szCs w:val="32"/>
        </w:rPr>
        <w:t>地方留成部分总额，扣除个人所得税、契税、土地增值税及其他与房地产开发经营业务相关的</w:t>
      </w:r>
      <w:r>
        <w:rPr>
          <w:rFonts w:hint="eastAsia" w:ascii="方正仿宋_GBK" w:hAnsi="方正仿宋_GBK" w:eastAsia="方正仿宋_GBK" w:cs="方正仿宋_GBK"/>
          <w:color w:val="000000"/>
          <w:sz w:val="32"/>
          <w:szCs w:val="32"/>
          <w:lang w:val="en-US" w:eastAsia="zh-CN"/>
        </w:rPr>
        <w:t>税收</w:t>
      </w:r>
      <w:r>
        <w:rPr>
          <w:rFonts w:hint="eastAsia" w:ascii="方正仿宋_GBK" w:hAnsi="方正仿宋_GBK" w:eastAsia="方正仿宋_GBK" w:cs="方正仿宋_GBK"/>
          <w:color w:val="000000"/>
          <w:sz w:val="32"/>
          <w:szCs w:val="32"/>
        </w:rPr>
        <w:t>。统计范围为总部企业及全省范围内的分公司、</w:t>
      </w:r>
      <w:r>
        <w:rPr>
          <w:rFonts w:hint="eastAsia" w:ascii="方正仿宋_GBK" w:hAnsi="方正仿宋_GBK" w:eastAsia="方正仿宋_GBK" w:cs="方正仿宋_GBK"/>
          <w:color w:val="000000"/>
          <w:sz w:val="32"/>
          <w:szCs w:val="32"/>
          <w:lang w:val="en-US" w:eastAsia="zh-CN"/>
        </w:rPr>
        <w:t>占</w:t>
      </w:r>
      <w:r>
        <w:rPr>
          <w:rFonts w:hint="eastAsia" w:ascii="方正仿宋_GBK" w:hAnsi="方正仿宋_GBK" w:eastAsia="方正仿宋_GBK" w:cs="方正仿宋_GBK"/>
          <w:color w:val="000000"/>
          <w:sz w:val="32"/>
          <w:szCs w:val="32"/>
        </w:rPr>
        <w:t>股50%（不含）以上的子公司。母公司与子公司均申请总部企业的，地方财力贡献不予重复计算。</w:t>
      </w:r>
    </w:p>
    <w:p>
      <w:pPr>
        <w:pStyle w:val="7"/>
        <w:spacing w:beforeLines="0" w:afterLines="0" w:line="560" w:lineRule="exact"/>
        <w:ind w:firstLine="640"/>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第二十</w:t>
      </w:r>
      <w:r>
        <w:rPr>
          <w:rFonts w:hint="eastAsia" w:ascii="方正仿宋_GBK" w:hAnsi="方正仿宋_GBK" w:eastAsia="方正仿宋_GBK" w:cs="方正仿宋_GBK"/>
          <w:b/>
          <w:bCs/>
          <w:color w:val="000000"/>
          <w:sz w:val="32"/>
          <w:szCs w:val="32"/>
          <w:lang w:val="en-US" w:eastAsia="zh-CN"/>
        </w:rPr>
        <w:t>七</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总部企业营业</w:t>
      </w:r>
      <w:r>
        <w:rPr>
          <w:rFonts w:hint="eastAsia" w:ascii="方正仿宋_GBK" w:hAnsi="方正仿宋_GBK" w:eastAsia="方正仿宋_GBK" w:cs="方正仿宋_GBK"/>
          <w:color w:val="000000"/>
          <w:sz w:val="32"/>
          <w:szCs w:val="32"/>
          <w:lang w:val="en-US" w:eastAsia="zh-CN"/>
        </w:rPr>
        <w:t>收入</w:t>
      </w:r>
      <w:r>
        <w:rPr>
          <w:rFonts w:hint="eastAsia" w:ascii="方正仿宋_GBK" w:hAnsi="方正仿宋_GBK" w:eastAsia="方正仿宋_GBK" w:cs="方正仿宋_GBK"/>
          <w:sz w:val="32"/>
        </w:rPr>
        <w:t>按照企业所得税年度纳税申报表的口径计算</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总部企业</w:t>
      </w:r>
      <w:r>
        <w:rPr>
          <w:rFonts w:hint="eastAsia" w:ascii="方正仿宋_GBK" w:hAnsi="方正仿宋_GBK" w:eastAsia="方正仿宋_GBK" w:cs="方正仿宋_GBK"/>
          <w:color w:val="000000"/>
          <w:sz w:val="32"/>
          <w:szCs w:val="32"/>
          <w:lang w:val="en-US" w:eastAsia="zh-CN"/>
        </w:rPr>
        <w:t>税收按照企业提交的税收完税证明计算。</w:t>
      </w:r>
    </w:p>
    <w:p>
      <w:pPr>
        <w:pStyle w:val="7"/>
        <w:spacing w:beforeLines="0" w:afterLines="0" w:line="560" w:lineRule="exact"/>
        <w:ind w:firstLine="64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bCs/>
          <w:color w:val="000000"/>
          <w:sz w:val="32"/>
          <w:szCs w:val="32"/>
        </w:rPr>
        <w:t>第二十</w:t>
      </w:r>
      <w:r>
        <w:rPr>
          <w:rFonts w:hint="eastAsia" w:ascii="方正仿宋_GBK" w:hAnsi="方正仿宋_GBK" w:eastAsia="方正仿宋_GBK" w:cs="方正仿宋_GBK"/>
          <w:b/>
          <w:bCs/>
          <w:color w:val="000000"/>
          <w:sz w:val="32"/>
          <w:szCs w:val="32"/>
          <w:lang w:val="en-US" w:eastAsia="zh-CN"/>
        </w:rPr>
        <w:t>八</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本办法所称的综合贡献，是指企业</w:t>
      </w:r>
      <w:r>
        <w:rPr>
          <w:rFonts w:hint="eastAsia" w:ascii="方正仿宋_GBK" w:hAnsi="方正仿宋_GBK" w:eastAsia="方正仿宋_GBK" w:cs="方正仿宋_GBK"/>
          <w:color w:val="000000"/>
          <w:sz w:val="32"/>
          <w:szCs w:val="32"/>
          <w:lang w:val="en-US" w:eastAsia="zh-CN"/>
        </w:rPr>
        <w:t>在</w:t>
      </w:r>
      <w:r>
        <w:rPr>
          <w:rFonts w:hint="eastAsia" w:ascii="方正仿宋_GBK" w:hAnsi="方正仿宋_GBK" w:eastAsia="方正仿宋_GBK" w:cs="方正仿宋_GBK"/>
          <w:color w:val="000000"/>
          <w:sz w:val="32"/>
          <w:szCs w:val="32"/>
        </w:rPr>
        <w:t>经济贡献、科技创新、促进就业、节能减排、社会诚信和安全生产等</w:t>
      </w:r>
      <w:r>
        <w:rPr>
          <w:rFonts w:hint="eastAsia" w:ascii="方正仿宋_GBK" w:hAnsi="方正仿宋_GBK" w:eastAsia="方正仿宋_GBK" w:cs="方正仿宋_GBK"/>
          <w:color w:val="000000"/>
          <w:sz w:val="32"/>
          <w:szCs w:val="32"/>
          <w:lang w:val="en-US" w:eastAsia="zh-CN"/>
        </w:rPr>
        <w:t>方面的综合贡献。</w:t>
      </w:r>
    </w:p>
    <w:p>
      <w:pPr>
        <w:pStyle w:val="7"/>
        <w:spacing w:beforeLines="0" w:afterLines="0"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第二十</w:t>
      </w:r>
      <w:r>
        <w:rPr>
          <w:rFonts w:hint="eastAsia" w:ascii="方正仿宋_GBK" w:hAnsi="方正仿宋_GBK" w:eastAsia="方正仿宋_GBK" w:cs="方正仿宋_GBK"/>
          <w:b/>
          <w:bCs/>
          <w:color w:val="000000"/>
          <w:sz w:val="32"/>
          <w:szCs w:val="32"/>
          <w:lang w:val="en-US" w:eastAsia="zh-CN"/>
        </w:rPr>
        <w:t>九</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总部企业认定后，在本省范围内变更</w:t>
      </w:r>
      <w:r>
        <w:rPr>
          <w:rFonts w:hint="eastAsia" w:ascii="方正仿宋_GBK" w:hAnsi="方正仿宋_GBK" w:eastAsia="方正仿宋_GBK" w:cs="方正仿宋_GBK"/>
          <w:color w:val="000000"/>
          <w:sz w:val="32"/>
          <w:szCs w:val="32"/>
          <w:lang w:val="en-US" w:eastAsia="zh-CN"/>
        </w:rPr>
        <w:t>住所或主要经营场所</w:t>
      </w:r>
      <w:r>
        <w:rPr>
          <w:rFonts w:hint="eastAsia" w:ascii="方正仿宋_GBK" w:hAnsi="方正仿宋_GBK" w:eastAsia="方正仿宋_GBK" w:cs="方正仿宋_GBK"/>
          <w:color w:val="000000"/>
          <w:sz w:val="32"/>
          <w:szCs w:val="32"/>
        </w:rPr>
        <w:t>的，在剩余年限内享受总部企业奖补。</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第</w:t>
      </w:r>
      <w:r>
        <w:rPr>
          <w:rFonts w:hint="eastAsia" w:ascii="方正仿宋_GBK" w:hAnsi="方正仿宋_GBK" w:eastAsia="方正仿宋_GBK" w:cs="方正仿宋_GBK"/>
          <w:b/>
          <w:bCs/>
          <w:color w:val="000000"/>
          <w:sz w:val="32"/>
          <w:szCs w:val="32"/>
          <w:lang w:val="en-US" w:eastAsia="zh-CN"/>
        </w:rPr>
        <w:t>三十</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rPr>
        <w:t>总部企业可申请享受我省制定出台的其他</w:t>
      </w:r>
      <w:r>
        <w:rPr>
          <w:rFonts w:hint="eastAsia" w:ascii="方正仿宋_GBK" w:hAnsi="方正仿宋_GBK" w:eastAsia="方正仿宋_GBK" w:cs="方正仿宋_GBK"/>
          <w:color w:val="000000"/>
          <w:sz w:val="32"/>
          <w:szCs w:val="32"/>
          <w:lang w:val="en-US" w:eastAsia="zh-CN"/>
        </w:rPr>
        <w:t>奖励</w:t>
      </w:r>
      <w:r>
        <w:rPr>
          <w:rFonts w:hint="eastAsia" w:ascii="方正仿宋_GBK" w:hAnsi="方正仿宋_GBK" w:eastAsia="方正仿宋_GBK" w:cs="方正仿宋_GBK"/>
          <w:color w:val="000000"/>
          <w:sz w:val="32"/>
          <w:szCs w:val="32"/>
        </w:rPr>
        <w:t>支持政策，与</w:t>
      </w:r>
      <w:r>
        <w:rPr>
          <w:rFonts w:hint="eastAsia" w:ascii="方正仿宋_GBK" w:hAnsi="方正仿宋_GBK" w:eastAsia="方正仿宋_GBK" w:cs="方正仿宋_GBK"/>
          <w:color w:val="000000"/>
          <w:sz w:val="32"/>
          <w:szCs w:val="32"/>
          <w:lang w:val="en-US" w:eastAsia="zh-CN"/>
        </w:rPr>
        <w:t>本办法</w:t>
      </w:r>
      <w:r>
        <w:rPr>
          <w:rFonts w:hint="eastAsia" w:ascii="方正仿宋_GBK" w:hAnsi="方正仿宋_GBK" w:eastAsia="方正仿宋_GBK" w:cs="方正仿宋_GBK"/>
          <w:color w:val="000000"/>
          <w:sz w:val="32"/>
          <w:szCs w:val="32"/>
        </w:rPr>
        <w:t>规定政策属同等类型的，按</w:t>
      </w:r>
      <w:r>
        <w:rPr>
          <w:rFonts w:hint="eastAsia" w:ascii="方正仿宋_GBK" w:hAnsi="方正仿宋_GBK" w:eastAsia="方正仿宋_GBK" w:cs="方正仿宋_GBK"/>
          <w:color w:val="000000"/>
          <w:sz w:val="32"/>
          <w:szCs w:val="32"/>
          <w:lang w:val="zh-CN" w:eastAsia="zh-CN" w:bidi="zh-CN"/>
        </w:rPr>
        <w:t>“就</w:t>
      </w:r>
      <w:r>
        <w:rPr>
          <w:rFonts w:hint="eastAsia" w:ascii="方正仿宋_GBK" w:hAnsi="方正仿宋_GBK" w:eastAsia="方正仿宋_GBK" w:cs="方正仿宋_GBK"/>
          <w:color w:val="000000"/>
          <w:sz w:val="32"/>
          <w:szCs w:val="32"/>
        </w:rPr>
        <w:t>高不就低”</w:t>
      </w:r>
      <w:r>
        <w:rPr>
          <w:rFonts w:hint="eastAsia" w:ascii="方正仿宋_GBK" w:hAnsi="方正仿宋_GBK" w:eastAsia="方正仿宋_GBK" w:cs="方正仿宋_GBK"/>
          <w:color w:val="000000"/>
          <w:sz w:val="32"/>
          <w:szCs w:val="32"/>
          <w:lang w:val="en-US" w:eastAsia="zh-CN"/>
        </w:rPr>
        <w:t>原则</w:t>
      </w:r>
      <w:r>
        <w:rPr>
          <w:rFonts w:hint="eastAsia" w:ascii="方正仿宋_GBK" w:hAnsi="方正仿宋_GBK" w:eastAsia="方正仿宋_GBK" w:cs="方正仿宋_GBK"/>
          <w:color w:val="000000"/>
          <w:sz w:val="32"/>
          <w:szCs w:val="32"/>
        </w:rPr>
        <w:t>享受政策。</w:t>
      </w:r>
    </w:p>
    <w:p>
      <w:pPr>
        <w:pStyle w:val="7"/>
        <w:spacing w:beforeLines="0" w:afterLines="0" w:line="56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 xml:space="preserve">第三十一条  </w:t>
      </w:r>
      <w:r>
        <w:rPr>
          <w:rFonts w:hint="eastAsia" w:ascii="方正仿宋_GBK" w:hAnsi="方正仿宋_GBK" w:eastAsia="方正仿宋_GBK" w:cs="方正仿宋_GBK"/>
          <w:color w:val="000000"/>
          <w:sz w:val="32"/>
          <w:szCs w:val="32"/>
          <w:lang w:val="en-US" w:eastAsia="zh-CN"/>
        </w:rPr>
        <w:t>省直相关部门</w:t>
      </w:r>
      <w:r>
        <w:rPr>
          <w:rFonts w:hint="eastAsia" w:ascii="方正仿宋_GBK" w:hAnsi="方正仿宋_GBK" w:eastAsia="方正仿宋_GBK" w:cs="方正仿宋_GBK"/>
          <w:color w:val="000000"/>
          <w:sz w:val="32"/>
          <w:szCs w:val="32"/>
        </w:rPr>
        <w:t>在本办法基础上，</w:t>
      </w:r>
      <w:r>
        <w:rPr>
          <w:rFonts w:hint="eastAsia" w:ascii="方正仿宋_GBK" w:hAnsi="方正仿宋_GBK" w:eastAsia="方正仿宋_GBK" w:cs="方正仿宋_GBK"/>
          <w:color w:val="000000"/>
          <w:sz w:val="32"/>
          <w:szCs w:val="32"/>
          <w:lang w:val="en-US" w:eastAsia="zh-CN"/>
        </w:rPr>
        <w:t>更新完善总部经济相关配套政策。</w:t>
      </w:r>
    </w:p>
    <w:p>
      <w:pPr>
        <w:pStyle w:val="7"/>
        <w:topLinePunct/>
        <w:spacing w:beforeLines="0" w:afterLines="0" w:line="56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 xml:space="preserve">第三十二条  </w:t>
      </w:r>
      <w:r>
        <w:rPr>
          <w:rFonts w:hint="eastAsia" w:ascii="方正仿宋_GBK" w:hAnsi="方正仿宋_GBK" w:eastAsia="方正仿宋_GBK" w:cs="方正仿宋_GBK"/>
          <w:color w:val="000000"/>
          <w:sz w:val="32"/>
          <w:szCs w:val="32"/>
          <w:lang w:val="en-US" w:eastAsia="zh-CN"/>
        </w:rPr>
        <w:t>支持海口、三亚和儋州打造总部经济集聚区。</w:t>
      </w:r>
      <w:r>
        <w:rPr>
          <w:rFonts w:hint="eastAsia" w:ascii="方正仿宋_GBK" w:hAnsi="方正仿宋_GBK" w:eastAsia="方正仿宋_GBK" w:cs="方正仿宋_GBK"/>
          <w:color w:val="000000"/>
          <w:sz w:val="32"/>
          <w:szCs w:val="32"/>
        </w:rPr>
        <w:t>各市</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县</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在本办法基础上，结合自身实际，制定支持总部经济发展的相关政策</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报省联席办备案后印发执行。</w:t>
      </w:r>
    </w:p>
    <w:p>
      <w:pPr>
        <w:pStyle w:val="7"/>
        <w:topLinePunct/>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lang w:val="en-US" w:eastAsia="zh-CN"/>
        </w:rPr>
        <w:t xml:space="preserve">第三十三条  </w:t>
      </w:r>
      <w:r>
        <w:rPr>
          <w:rFonts w:hint="eastAsia" w:ascii="方正仿宋_GBK" w:hAnsi="方正仿宋_GBK" w:eastAsia="方正仿宋_GBK" w:cs="方正仿宋_GBK"/>
          <w:color w:val="000000"/>
          <w:sz w:val="32"/>
          <w:szCs w:val="32"/>
        </w:rPr>
        <w:t>属于《海南省产业准入禁止限制目录》的企业</w:t>
      </w:r>
      <w:r>
        <w:rPr>
          <w:rFonts w:hint="eastAsia" w:ascii="方正仿宋_GBK" w:hAnsi="方正仿宋_GBK" w:eastAsia="方正仿宋_GBK" w:cs="方正仿宋_GBK"/>
          <w:color w:val="000000"/>
          <w:sz w:val="32"/>
          <w:szCs w:val="32"/>
          <w:lang w:val="en-US" w:eastAsia="zh-CN"/>
        </w:rPr>
        <w:t>和房地产企业，</w:t>
      </w:r>
      <w:r>
        <w:rPr>
          <w:rFonts w:hint="eastAsia" w:ascii="方正仿宋_GBK" w:hAnsi="方正仿宋_GBK" w:eastAsia="方正仿宋_GBK" w:cs="方正仿宋_GBK"/>
          <w:color w:val="000000"/>
          <w:sz w:val="32"/>
          <w:szCs w:val="32"/>
        </w:rPr>
        <w:t>不适用本办法。</w:t>
      </w:r>
    </w:p>
    <w:p>
      <w:pPr>
        <w:pStyle w:val="7"/>
        <w:spacing w:beforeLines="0" w:afterLines="0" w:line="560" w:lineRule="exact"/>
        <w:ind w:firstLine="640"/>
        <w:rPr>
          <w:rFonts w:hint="eastAsia" w:ascii="方正仿宋_GBK" w:hAnsi="方正仿宋_GBK" w:eastAsia="方正仿宋_GBK" w:cs="方正仿宋_GBK"/>
          <w:b/>
          <w:bCs/>
          <w:color w:val="0000FF"/>
          <w:sz w:val="32"/>
          <w:szCs w:val="32"/>
          <w:lang w:val="en-US" w:eastAsia="zh-CN"/>
        </w:rPr>
      </w:pPr>
      <w:r>
        <w:rPr>
          <w:rFonts w:hint="eastAsia" w:ascii="方正仿宋_GBK" w:hAnsi="方正仿宋_GBK" w:eastAsia="方正仿宋_GBK" w:cs="方正仿宋_GBK"/>
          <w:b/>
          <w:bCs/>
          <w:color w:val="000000"/>
          <w:sz w:val="32"/>
          <w:szCs w:val="32"/>
          <w:lang w:val="en-US" w:eastAsia="zh-CN"/>
        </w:rPr>
        <w:t>第三十四条</w:t>
      </w:r>
      <w:r>
        <w:rPr>
          <w:rFonts w:hint="eastAsia" w:ascii="方正仿宋_GBK" w:hAnsi="方正仿宋_GBK" w:eastAsia="方正仿宋_GBK" w:cs="方正仿宋_GBK"/>
          <w:color w:val="000000"/>
          <w:sz w:val="32"/>
          <w:szCs w:val="32"/>
          <w:lang w:val="en-US" w:eastAsia="zh-CN"/>
        </w:rPr>
        <w:t xml:space="preserve">  现有的跨国公司地区总部、综合型（区域型）总部、高成长型总部分别与本办法规定的跨国公司区域总部、综合型总部、高成长型总部对应。</w:t>
      </w:r>
    </w:p>
    <w:p>
      <w:pPr>
        <w:pStyle w:val="7"/>
        <w:spacing w:beforeLines="0" w:afterLines="0" w:line="560" w:lineRule="exact"/>
        <w:ind w:firstLine="640"/>
        <w:rPr>
          <w:rFonts w:hint="eastAsia" w:ascii="方正仿宋_GBK" w:hAnsi="方正仿宋_GBK" w:eastAsia="方正仿宋_GBK" w:cs="方正仿宋_GBK"/>
          <w:color w:val="000000"/>
          <w:sz w:val="32"/>
          <w:szCs w:val="32"/>
          <w:lang w:val="en-US" w:eastAsia="zh-CN"/>
        </w:rPr>
        <w:sectPr>
          <w:footerReference r:id="rId3" w:type="default"/>
          <w:footerReference r:id="rId4" w:type="even"/>
          <w:pgSz w:w="11906" w:h="16838"/>
          <w:pgMar w:top="2098" w:right="1587" w:bottom="2098" w:left="1587" w:header="851" w:footer="992" w:gutter="0"/>
          <w:pgNumType w:fmt="numberInDash"/>
          <w:cols w:space="720" w:num="1"/>
          <w:rtlGutter w:val="0"/>
          <w:docGrid w:type="lines" w:linePitch="435" w:charSpace="0"/>
        </w:sectPr>
      </w:pPr>
      <w:r>
        <w:rPr>
          <w:rFonts w:hint="eastAsia" w:ascii="方正仿宋_GBK" w:hAnsi="方正仿宋_GBK" w:eastAsia="方正仿宋_GBK" w:cs="方正仿宋_GBK"/>
          <w:b/>
          <w:bCs/>
          <w:color w:val="000000"/>
          <w:sz w:val="32"/>
          <w:szCs w:val="32"/>
        </w:rPr>
        <w:t>第三十</w:t>
      </w:r>
      <w:r>
        <w:rPr>
          <w:rFonts w:hint="eastAsia" w:ascii="方正仿宋_GBK" w:hAnsi="方正仿宋_GBK" w:eastAsia="方正仿宋_GBK" w:cs="方正仿宋_GBK"/>
          <w:b/>
          <w:bCs/>
          <w:color w:val="000000"/>
          <w:sz w:val="32"/>
          <w:szCs w:val="32"/>
          <w:lang w:val="en-US" w:eastAsia="zh-CN"/>
        </w:rPr>
        <w:t>五</w:t>
      </w:r>
      <w:r>
        <w:rPr>
          <w:rFonts w:hint="eastAsia" w:ascii="方正仿宋_GBK" w:hAnsi="方正仿宋_GBK" w:eastAsia="方正仿宋_GBK" w:cs="方正仿宋_GBK"/>
          <w:b/>
          <w:bCs/>
          <w:color w:val="000000"/>
          <w:sz w:val="32"/>
          <w:szCs w:val="32"/>
        </w:rPr>
        <w:t>条</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color w:val="000000"/>
          <w:sz w:val="32"/>
          <w:szCs w:val="32"/>
          <w:lang w:val="en-US" w:eastAsia="zh-CN"/>
        </w:rPr>
        <w:t>本办法自发布之日起施行，有效期5年，</w:t>
      </w:r>
      <w:r>
        <w:rPr>
          <w:rFonts w:hint="eastAsia" w:ascii="方正仿宋_GBK" w:hAnsi="方正仿宋_GBK" w:eastAsia="方正仿宋_GBK" w:cs="方正仿宋_GBK"/>
          <w:color w:val="000000"/>
          <w:sz w:val="32"/>
          <w:szCs w:val="32"/>
        </w:rPr>
        <w:t>由省联席办负责解释。本办法施行前的规定与本办法不一致的</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以本办法为准。</w:t>
      </w:r>
    </w:p>
    <w:p>
      <w:pPr>
        <w:pStyle w:val="3"/>
        <w:widowControl/>
        <w:shd w:val="clear" w:color="auto" w:fill="FFFFFF"/>
        <w:spacing w:line="560" w:lineRule="exact"/>
        <w:jc w:val="center"/>
        <w:rPr>
          <w:rFonts w:ascii="Times New Roman" w:hAnsi="Times New Roman" w:eastAsia="方正小标宋简体"/>
          <w:bCs/>
          <w:color w:val="292621"/>
          <w:sz w:val="44"/>
          <w:szCs w:val="44"/>
        </w:rPr>
      </w:pPr>
      <w:r>
        <w:rPr>
          <w:rFonts w:ascii="Times New Roman" w:hAnsi="Times New Roman" w:eastAsia="方正小标宋简体"/>
          <w:bCs/>
          <w:color w:val="292621"/>
          <w:sz w:val="44"/>
          <w:szCs w:val="44"/>
          <w:shd w:val="clear" w:color="auto" w:fill="FFFFFF"/>
        </w:rPr>
        <w:t>海南省总部企业认定申请表</w:t>
      </w:r>
    </w:p>
    <w:p>
      <w:pPr>
        <w:pStyle w:val="3"/>
        <w:widowControl/>
        <w:shd w:val="clear" w:color="auto" w:fill="FFFFFF"/>
        <w:spacing w:line="560" w:lineRule="exact"/>
        <w:rPr>
          <w:rFonts w:hint="eastAsia" w:ascii="方正楷体_GBK" w:hAnsi="方正楷体_GBK" w:eastAsia="方正楷体_GBK" w:cs="方正楷体_GBK"/>
          <w:color w:val="292621"/>
          <w:sz w:val="21"/>
          <w:szCs w:val="21"/>
        </w:rPr>
      </w:pPr>
      <w:r>
        <w:rPr>
          <w:rFonts w:hint="eastAsia" w:ascii="方正楷体_GBK" w:hAnsi="方正楷体_GBK" w:eastAsia="方正楷体_GBK" w:cs="方正楷体_GBK"/>
          <w:color w:val="292621"/>
          <w:shd w:val="clear" w:color="auto" w:fill="FFFFFF"/>
        </w:rPr>
        <w:t>申请企业（盖章）                                        申请日期：   年     月     日    </w:t>
      </w:r>
    </w:p>
    <w:tbl>
      <w:tblPr>
        <w:tblStyle w:val="4"/>
        <w:tblW w:w="9465" w:type="dxa"/>
        <w:jc w:val="center"/>
        <w:shd w:val="clear" w:color="auto" w:fill="FFFFFF"/>
        <w:tblLayout w:type="fixed"/>
        <w:tblCellMar>
          <w:top w:w="0" w:type="dxa"/>
          <w:left w:w="0" w:type="dxa"/>
          <w:bottom w:w="0" w:type="dxa"/>
          <w:right w:w="0" w:type="dxa"/>
        </w:tblCellMar>
      </w:tblPr>
      <w:tblGrid>
        <w:gridCol w:w="1799"/>
        <w:gridCol w:w="377"/>
        <w:gridCol w:w="717"/>
        <w:gridCol w:w="455"/>
        <w:gridCol w:w="1307"/>
        <w:gridCol w:w="222"/>
        <w:gridCol w:w="510"/>
        <w:gridCol w:w="8"/>
        <w:gridCol w:w="15"/>
        <w:gridCol w:w="996"/>
        <w:gridCol w:w="28"/>
        <w:gridCol w:w="272"/>
        <w:gridCol w:w="720"/>
        <w:gridCol w:w="286"/>
        <w:gridCol w:w="223"/>
        <w:gridCol w:w="426"/>
        <w:gridCol w:w="1104"/>
      </w:tblGrid>
      <w:tr>
        <w:tblPrEx>
          <w:shd w:val="clear" w:color="auto" w:fill="FFFFFF"/>
          <w:tblCellMar>
            <w:top w:w="0" w:type="dxa"/>
            <w:left w:w="0" w:type="dxa"/>
            <w:bottom w:w="0" w:type="dxa"/>
            <w:right w:w="0" w:type="dxa"/>
          </w:tblCellMar>
        </w:tblPrEx>
        <w:trPr>
          <w:trHeight w:val="492" w:hRule="atLeast"/>
          <w:jc w:val="center"/>
        </w:trPr>
        <w:tc>
          <w:tcPr>
            <w:tcW w:w="9465" w:type="dxa"/>
            <w:gridSpan w:val="17"/>
            <w:tcBorders>
              <w:top w:val="single" w:color="000000" w:sz="6" w:space="0"/>
              <w:left w:val="single" w:color="000000" w:sz="6" w:space="0"/>
              <w:bottom w:val="single" w:color="000000" w:sz="6" w:space="0"/>
              <w:right w:val="single" w:color="000000" w:sz="6" w:space="0"/>
            </w:tcBorders>
            <w:shd w:val="clear" w:color="auto" w:fill="C0C0C0"/>
            <w:noWrap w:val="0"/>
            <w:vAlign w:val="center"/>
          </w:tcPr>
          <w:p>
            <w:pPr>
              <w:pStyle w:val="3"/>
              <w:widowControl/>
              <w:spacing w:line="300" w:lineRule="exact"/>
              <w:ind w:firstLine="420"/>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申请企业填写</w:t>
            </w:r>
          </w:p>
        </w:tc>
      </w:tr>
      <w:tr>
        <w:tblPrEx>
          <w:shd w:val="clear" w:color="auto" w:fill="FFFFFF"/>
          <w:tblCellMar>
            <w:top w:w="0" w:type="dxa"/>
            <w:left w:w="0" w:type="dxa"/>
            <w:bottom w:w="0" w:type="dxa"/>
            <w:right w:w="0" w:type="dxa"/>
          </w:tblCellMar>
        </w:tblPrEx>
        <w:trPr>
          <w:trHeight w:val="454" w:hRule="exact"/>
          <w:jc w:val="center"/>
        </w:trPr>
        <w:tc>
          <w:tcPr>
            <w:tcW w:w="1799" w:type="dxa"/>
            <w:vMerge w:val="restart"/>
            <w:tcBorders>
              <w:top w:val="nil"/>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企业</w:t>
            </w:r>
          </w:p>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基本</w:t>
            </w:r>
          </w:p>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情况</w:t>
            </w:r>
          </w:p>
        </w:tc>
        <w:tc>
          <w:tcPr>
            <w:tcW w:w="1094" w:type="dxa"/>
            <w:gridSpan w:val="2"/>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企业名称</w:t>
            </w:r>
          </w:p>
        </w:tc>
        <w:tc>
          <w:tcPr>
            <w:tcW w:w="3813" w:type="dxa"/>
            <w:gridSpan w:val="9"/>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p>
        </w:tc>
        <w:tc>
          <w:tcPr>
            <w:tcW w:w="1006" w:type="dxa"/>
            <w:gridSpan w:val="2"/>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企业性质</w:t>
            </w:r>
          </w:p>
        </w:tc>
        <w:tc>
          <w:tcPr>
            <w:tcW w:w="1753" w:type="dxa"/>
            <w:gridSpan w:val="3"/>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p>
        </w:tc>
      </w:tr>
      <w:tr>
        <w:tblPrEx>
          <w:shd w:val="clear" w:color="auto" w:fill="FFFFFF"/>
          <w:tblCellMar>
            <w:top w:w="0" w:type="dxa"/>
            <w:left w:w="0" w:type="dxa"/>
            <w:bottom w:w="0" w:type="dxa"/>
            <w:right w:w="0" w:type="dxa"/>
          </w:tblCellMar>
        </w:tblPrEx>
        <w:trPr>
          <w:trHeight w:val="622" w:hRule="atLeast"/>
          <w:jc w:val="center"/>
        </w:trPr>
        <w:tc>
          <w:tcPr>
            <w:tcW w:w="1799" w:type="dxa"/>
            <w:vMerge w:val="continue"/>
            <w:tcBorders>
              <w:top w:val="nil"/>
              <w:left w:val="single" w:color="000000" w:sz="6" w:space="0"/>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094" w:type="dxa"/>
            <w:gridSpan w:val="2"/>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注册地址</w:t>
            </w:r>
          </w:p>
        </w:tc>
        <w:tc>
          <w:tcPr>
            <w:tcW w:w="3813" w:type="dxa"/>
            <w:gridSpan w:val="9"/>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006" w:type="dxa"/>
            <w:gridSpan w:val="2"/>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统一社会信用代码</w:t>
            </w:r>
          </w:p>
        </w:tc>
        <w:tc>
          <w:tcPr>
            <w:tcW w:w="1753" w:type="dxa"/>
            <w:gridSpan w:val="3"/>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r>
      <w:tr>
        <w:tblPrEx>
          <w:shd w:val="clear" w:color="auto" w:fill="FFFFFF"/>
          <w:tblCellMar>
            <w:top w:w="0" w:type="dxa"/>
            <w:left w:w="0" w:type="dxa"/>
            <w:bottom w:w="0" w:type="dxa"/>
            <w:right w:w="0" w:type="dxa"/>
          </w:tblCellMar>
        </w:tblPrEx>
        <w:trPr>
          <w:trHeight w:val="454" w:hRule="exact"/>
          <w:jc w:val="center"/>
        </w:trPr>
        <w:tc>
          <w:tcPr>
            <w:tcW w:w="1799" w:type="dxa"/>
            <w:vMerge w:val="continue"/>
            <w:tcBorders>
              <w:top w:val="nil"/>
              <w:left w:val="single" w:color="000000" w:sz="6" w:space="0"/>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094" w:type="dxa"/>
            <w:gridSpan w:val="2"/>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主营业务</w:t>
            </w:r>
          </w:p>
        </w:tc>
        <w:tc>
          <w:tcPr>
            <w:tcW w:w="3813" w:type="dxa"/>
            <w:gridSpan w:val="9"/>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006" w:type="dxa"/>
            <w:gridSpan w:val="2"/>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注册时间</w:t>
            </w:r>
          </w:p>
        </w:tc>
        <w:tc>
          <w:tcPr>
            <w:tcW w:w="1753" w:type="dxa"/>
            <w:gridSpan w:val="3"/>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r>
      <w:tr>
        <w:tblPrEx>
          <w:shd w:val="clear" w:color="auto" w:fill="FFFFFF"/>
          <w:tblCellMar>
            <w:top w:w="0" w:type="dxa"/>
            <w:left w:w="0" w:type="dxa"/>
            <w:bottom w:w="0" w:type="dxa"/>
            <w:right w:w="0" w:type="dxa"/>
          </w:tblCellMar>
        </w:tblPrEx>
        <w:trPr>
          <w:trHeight w:val="454" w:hRule="exact"/>
          <w:jc w:val="center"/>
        </w:trPr>
        <w:tc>
          <w:tcPr>
            <w:tcW w:w="1799" w:type="dxa"/>
            <w:vMerge w:val="continue"/>
            <w:tcBorders>
              <w:top w:val="nil"/>
              <w:left w:val="single" w:color="000000" w:sz="6" w:space="0"/>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094" w:type="dxa"/>
            <w:gridSpan w:val="2"/>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法人代表</w:t>
            </w:r>
          </w:p>
        </w:tc>
        <w:tc>
          <w:tcPr>
            <w:tcW w:w="1762" w:type="dxa"/>
            <w:gridSpan w:val="2"/>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755" w:type="dxa"/>
            <w:gridSpan w:val="4"/>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电话</w:t>
            </w:r>
          </w:p>
        </w:tc>
        <w:tc>
          <w:tcPr>
            <w:tcW w:w="1296" w:type="dxa"/>
            <w:gridSpan w:val="3"/>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006" w:type="dxa"/>
            <w:gridSpan w:val="2"/>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传真</w:t>
            </w:r>
          </w:p>
        </w:tc>
        <w:tc>
          <w:tcPr>
            <w:tcW w:w="1753" w:type="dxa"/>
            <w:gridSpan w:val="3"/>
            <w:tcBorders>
              <w:top w:val="single" w:color="000000" w:sz="6" w:space="0"/>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r>
      <w:tr>
        <w:tblPrEx>
          <w:shd w:val="clear" w:color="auto" w:fill="FFFFFF"/>
          <w:tblCellMar>
            <w:top w:w="0" w:type="dxa"/>
            <w:left w:w="0" w:type="dxa"/>
            <w:bottom w:w="0" w:type="dxa"/>
            <w:right w:w="0" w:type="dxa"/>
          </w:tblCellMar>
        </w:tblPrEx>
        <w:trPr>
          <w:trHeight w:val="454" w:hRule="exact"/>
          <w:jc w:val="center"/>
        </w:trPr>
        <w:tc>
          <w:tcPr>
            <w:tcW w:w="1799" w:type="dxa"/>
            <w:vMerge w:val="continue"/>
            <w:tcBorders>
              <w:top w:val="nil"/>
              <w:left w:val="single" w:color="000000" w:sz="6" w:space="0"/>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094" w:type="dxa"/>
            <w:gridSpan w:val="2"/>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210" w:firstLineChars="10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联 系 人</w:t>
            </w:r>
          </w:p>
        </w:tc>
        <w:tc>
          <w:tcPr>
            <w:tcW w:w="1762" w:type="dxa"/>
            <w:gridSpan w:val="2"/>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755" w:type="dxa"/>
            <w:gridSpan w:val="4"/>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电话</w:t>
            </w:r>
          </w:p>
        </w:tc>
        <w:tc>
          <w:tcPr>
            <w:tcW w:w="1296" w:type="dxa"/>
            <w:gridSpan w:val="3"/>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006" w:type="dxa"/>
            <w:gridSpan w:val="2"/>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手机</w:t>
            </w:r>
          </w:p>
        </w:tc>
        <w:tc>
          <w:tcPr>
            <w:tcW w:w="1753" w:type="dxa"/>
            <w:gridSpan w:val="3"/>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r>
      <w:tr>
        <w:tblPrEx>
          <w:shd w:val="clear" w:color="auto" w:fill="FFFFFF"/>
          <w:tblCellMar>
            <w:top w:w="0" w:type="dxa"/>
            <w:left w:w="0" w:type="dxa"/>
            <w:bottom w:w="0" w:type="dxa"/>
            <w:right w:w="0" w:type="dxa"/>
          </w:tblCellMar>
        </w:tblPrEx>
        <w:trPr>
          <w:trHeight w:val="1140" w:hRule="atLeast"/>
          <w:jc w:val="center"/>
        </w:trPr>
        <w:tc>
          <w:tcPr>
            <w:tcW w:w="1799" w:type="dxa"/>
            <w:vMerge w:val="continue"/>
            <w:tcBorders>
              <w:top w:val="nil"/>
              <w:left w:val="single" w:color="000000" w:sz="6" w:space="0"/>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094" w:type="dxa"/>
            <w:gridSpan w:val="2"/>
            <w:tcBorders>
              <w:top w:val="nil"/>
              <w:left w:val="nil"/>
              <w:bottom w:val="single" w:color="000000" w:sz="6" w:space="0"/>
              <w:right w:val="single" w:color="000000" w:sz="4"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经营主业</w:t>
            </w:r>
          </w:p>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所属行业</w:t>
            </w:r>
          </w:p>
        </w:tc>
        <w:tc>
          <w:tcPr>
            <w:tcW w:w="6572" w:type="dxa"/>
            <w:gridSpan w:val="14"/>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□农、林、牧、渔业  □制造业 □建筑业  □批发和零售业  □金融业</w:t>
            </w:r>
          </w:p>
          <w:p>
            <w:pPr>
              <w:pStyle w:val="3"/>
              <w:widowControl/>
              <w:spacing w:line="300" w:lineRule="exac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□交通运输、仓储和邮政业</w:t>
            </w:r>
            <w:r>
              <w:rPr>
                <w:rStyle w:val="6"/>
                <w:rFonts w:hint="eastAsia" w:ascii="方正仿宋_GBK" w:hAnsi="方正仿宋_GBK" w:eastAsia="方正仿宋_GBK" w:cs="方正仿宋_GBK"/>
                <w:b w:val="0"/>
                <w:color w:val="333333"/>
                <w:sz w:val="21"/>
                <w:szCs w:val="21"/>
                <w:shd w:val="clear" w:color="auto" w:fill="FFFFFF"/>
              </w:rPr>
              <w:t xml:space="preserve">  </w:t>
            </w:r>
            <w:r>
              <w:rPr>
                <w:rFonts w:hint="eastAsia" w:ascii="方正仿宋_GBK" w:hAnsi="方正仿宋_GBK" w:eastAsia="方正仿宋_GBK" w:cs="方正仿宋_GBK"/>
                <w:color w:val="292621"/>
                <w:sz w:val="21"/>
                <w:szCs w:val="21"/>
              </w:rPr>
              <w:t>  □电力、热力、燃气及水生产和供应业</w:t>
            </w:r>
          </w:p>
          <w:p>
            <w:pPr>
              <w:pStyle w:val="3"/>
              <w:widowControl/>
              <w:spacing w:line="300" w:lineRule="exac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□采矿业     □信息传输、软件和信息技术服务业    □住宿和餐饮业</w:t>
            </w:r>
          </w:p>
          <w:p>
            <w:pPr>
              <w:pStyle w:val="3"/>
              <w:widowControl/>
              <w:spacing w:line="300" w:lineRule="exact"/>
              <w:rPr>
                <w:rFonts w:hint="eastAsia" w:ascii="方正仿宋_GBK" w:hAnsi="方正仿宋_GBK" w:eastAsia="方正仿宋_GBK" w:cs="方正仿宋_GBK"/>
                <w:color w:val="292621"/>
                <w:sz w:val="21"/>
                <w:szCs w:val="21"/>
                <w:u w:val="single"/>
              </w:rPr>
            </w:pPr>
            <w:r>
              <w:rPr>
                <w:rFonts w:hint="eastAsia" w:ascii="方正仿宋_GBK" w:hAnsi="方正仿宋_GBK" w:eastAsia="方正仿宋_GBK" w:cs="方正仿宋_GBK"/>
                <w:color w:val="292621"/>
                <w:sz w:val="21"/>
                <w:szCs w:val="21"/>
              </w:rPr>
              <w:t>□其他</w:t>
            </w:r>
            <w:r>
              <w:rPr>
                <w:rFonts w:hint="eastAsia" w:ascii="方正仿宋_GBK" w:hAnsi="方正仿宋_GBK" w:eastAsia="方正仿宋_GBK" w:cs="方正仿宋_GBK"/>
                <w:color w:val="292621"/>
                <w:sz w:val="21"/>
                <w:szCs w:val="21"/>
                <w:u w:val="single"/>
              </w:rPr>
              <w:t xml:space="preserve">       </w:t>
            </w:r>
            <w:r>
              <w:rPr>
                <w:rFonts w:hint="eastAsia" w:ascii="方正仿宋_GBK" w:hAnsi="方正仿宋_GBK" w:eastAsia="方正仿宋_GBK" w:cs="方正仿宋_GBK"/>
                <w:color w:val="292621"/>
                <w:sz w:val="21"/>
                <w:szCs w:val="21"/>
              </w:rPr>
              <w:t xml:space="preserve">    </w:t>
            </w:r>
          </w:p>
        </w:tc>
      </w:tr>
      <w:tr>
        <w:tblPrEx>
          <w:shd w:val="clear" w:color="auto" w:fill="FFFFFF"/>
          <w:tblCellMar>
            <w:top w:w="0" w:type="dxa"/>
            <w:left w:w="0" w:type="dxa"/>
            <w:bottom w:w="0" w:type="dxa"/>
            <w:right w:w="0" w:type="dxa"/>
          </w:tblCellMar>
        </w:tblPrEx>
        <w:trPr>
          <w:trHeight w:val="1026" w:hRule="atLeast"/>
          <w:jc w:val="center"/>
        </w:trPr>
        <w:tc>
          <w:tcPr>
            <w:tcW w:w="1799" w:type="dxa"/>
            <w:vMerge w:val="continue"/>
            <w:tcBorders>
              <w:top w:val="nil"/>
              <w:left w:val="single" w:color="000000" w:sz="6" w:space="0"/>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094" w:type="dxa"/>
            <w:gridSpan w:val="2"/>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总部功能</w:t>
            </w:r>
          </w:p>
        </w:tc>
        <w:tc>
          <w:tcPr>
            <w:tcW w:w="6572" w:type="dxa"/>
            <w:gridSpan w:val="14"/>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□集团公司   □投资性公司    □运营中心   □销售中心  □采购中心 </w:t>
            </w:r>
          </w:p>
          <w:p>
            <w:pPr>
              <w:pStyle w:val="3"/>
              <w:widowControl/>
              <w:spacing w:line="300" w:lineRule="exac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 xml:space="preserve">□研发中心   □决策中心      □结算中心   □管理中心 </w:t>
            </w:r>
          </w:p>
          <w:p>
            <w:pPr>
              <w:pStyle w:val="3"/>
              <w:widowControl/>
              <w:spacing w:line="300" w:lineRule="exac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□其他：</w:t>
            </w:r>
            <w:r>
              <w:rPr>
                <w:rFonts w:hint="eastAsia" w:ascii="方正仿宋_GBK" w:hAnsi="方正仿宋_GBK" w:eastAsia="方正仿宋_GBK" w:cs="方正仿宋_GBK"/>
                <w:color w:val="292621"/>
                <w:sz w:val="21"/>
                <w:szCs w:val="21"/>
                <w:u w:val="single"/>
              </w:rPr>
              <w:t>                </w:t>
            </w:r>
            <w:r>
              <w:rPr>
                <w:rFonts w:hint="eastAsia" w:ascii="方正仿宋_GBK" w:hAnsi="方正仿宋_GBK" w:eastAsia="方正仿宋_GBK" w:cs="方正仿宋_GBK"/>
                <w:color w:val="292621"/>
                <w:sz w:val="21"/>
                <w:szCs w:val="21"/>
              </w:rPr>
              <w:t>                                         </w:t>
            </w:r>
          </w:p>
        </w:tc>
      </w:tr>
      <w:tr>
        <w:tblPrEx>
          <w:shd w:val="clear" w:color="auto" w:fill="FFFFFF"/>
          <w:tblCellMar>
            <w:top w:w="0" w:type="dxa"/>
            <w:left w:w="0" w:type="dxa"/>
            <w:bottom w:w="0" w:type="dxa"/>
            <w:right w:w="0" w:type="dxa"/>
          </w:tblCellMar>
        </w:tblPrEx>
        <w:trPr>
          <w:trHeight w:val="90" w:hRule="atLeast"/>
          <w:jc w:val="center"/>
        </w:trPr>
        <w:tc>
          <w:tcPr>
            <w:tcW w:w="1799" w:type="dxa"/>
            <w:tcBorders>
              <w:top w:val="nil"/>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认定</w:t>
            </w:r>
          </w:p>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类型</w:t>
            </w:r>
          </w:p>
        </w:tc>
        <w:tc>
          <w:tcPr>
            <w:tcW w:w="7666" w:type="dxa"/>
            <w:gridSpan w:val="16"/>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630" w:firstLineChars="30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□跨国公司区域总部          □大企业总部          □综合型总部  </w:t>
            </w:r>
          </w:p>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   □功能型总部               □高成长型总部  </w:t>
            </w:r>
          </w:p>
        </w:tc>
      </w:tr>
      <w:tr>
        <w:tblPrEx>
          <w:shd w:val="clear" w:color="auto" w:fill="FFFFFF"/>
          <w:tblCellMar>
            <w:top w:w="0" w:type="dxa"/>
            <w:left w:w="0" w:type="dxa"/>
            <w:bottom w:w="0" w:type="dxa"/>
            <w:right w:w="0" w:type="dxa"/>
          </w:tblCellMar>
        </w:tblPrEx>
        <w:trPr>
          <w:trHeight w:val="454" w:hRule="exact"/>
          <w:jc w:val="center"/>
        </w:trPr>
        <w:tc>
          <w:tcPr>
            <w:tcW w:w="1799" w:type="dxa"/>
            <w:vMerge w:val="restart"/>
            <w:tcBorders>
              <w:top w:val="nil"/>
              <w:left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企业</w:t>
            </w:r>
          </w:p>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主要</w:t>
            </w:r>
          </w:p>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经营</w:t>
            </w:r>
          </w:p>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情况</w:t>
            </w:r>
          </w:p>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（填写申报</w:t>
            </w:r>
          </w:p>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核查年度）</w:t>
            </w:r>
          </w:p>
        </w:tc>
        <w:tc>
          <w:tcPr>
            <w:tcW w:w="1549" w:type="dxa"/>
            <w:gridSpan w:val="3"/>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注册资本</w:t>
            </w:r>
          </w:p>
        </w:tc>
        <w:tc>
          <w:tcPr>
            <w:tcW w:w="2039" w:type="dxa"/>
            <w:gridSpan w:val="3"/>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ind w:firstLine="1470" w:firstLineChars="70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万元</w:t>
            </w:r>
          </w:p>
        </w:tc>
        <w:tc>
          <w:tcPr>
            <w:tcW w:w="2039" w:type="dxa"/>
            <w:gridSpan w:val="6"/>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ind w:firstLine="630" w:firstLineChars="30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实收资本</w:t>
            </w:r>
          </w:p>
        </w:tc>
        <w:tc>
          <w:tcPr>
            <w:tcW w:w="2039" w:type="dxa"/>
            <w:gridSpan w:val="4"/>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ind w:firstLine="1470" w:firstLineChars="70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万元</w:t>
            </w:r>
          </w:p>
        </w:tc>
      </w:tr>
      <w:tr>
        <w:tblPrEx>
          <w:shd w:val="clear" w:color="auto" w:fill="FFFFFF"/>
          <w:tblCellMar>
            <w:top w:w="0" w:type="dxa"/>
            <w:left w:w="0" w:type="dxa"/>
            <w:bottom w:w="0" w:type="dxa"/>
            <w:right w:w="0" w:type="dxa"/>
          </w:tblCellMar>
        </w:tblPrEx>
        <w:trPr>
          <w:trHeight w:val="454" w:hRule="exact"/>
          <w:jc w:val="center"/>
        </w:trPr>
        <w:tc>
          <w:tcPr>
            <w:tcW w:w="1799" w:type="dxa"/>
            <w:vMerge w:val="continue"/>
            <w:tcBorders>
              <w:left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549" w:type="dxa"/>
            <w:gridSpan w:val="3"/>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总资产</w:t>
            </w:r>
          </w:p>
        </w:tc>
        <w:tc>
          <w:tcPr>
            <w:tcW w:w="2039" w:type="dxa"/>
            <w:gridSpan w:val="3"/>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 xml:space="preserve">         万元</w:t>
            </w:r>
          </w:p>
        </w:tc>
        <w:tc>
          <w:tcPr>
            <w:tcW w:w="2039" w:type="dxa"/>
            <w:gridSpan w:val="6"/>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630" w:firstLineChars="30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营业收入</w:t>
            </w:r>
          </w:p>
        </w:tc>
        <w:tc>
          <w:tcPr>
            <w:tcW w:w="2039" w:type="dxa"/>
            <w:gridSpan w:val="4"/>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 xml:space="preserve">         万元</w:t>
            </w:r>
          </w:p>
        </w:tc>
      </w:tr>
      <w:tr>
        <w:tblPrEx>
          <w:shd w:val="clear" w:color="auto" w:fill="FFFFFF"/>
          <w:tblCellMar>
            <w:top w:w="0" w:type="dxa"/>
            <w:left w:w="0" w:type="dxa"/>
            <w:bottom w:w="0" w:type="dxa"/>
            <w:right w:w="0" w:type="dxa"/>
          </w:tblCellMar>
        </w:tblPrEx>
        <w:trPr>
          <w:trHeight w:val="454" w:hRule="exact"/>
          <w:jc w:val="center"/>
        </w:trPr>
        <w:tc>
          <w:tcPr>
            <w:tcW w:w="1799" w:type="dxa"/>
            <w:vMerge w:val="continue"/>
            <w:tcBorders>
              <w:left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549" w:type="dxa"/>
            <w:gridSpan w:val="3"/>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纳税总额</w:t>
            </w:r>
          </w:p>
        </w:tc>
        <w:tc>
          <w:tcPr>
            <w:tcW w:w="2039" w:type="dxa"/>
            <w:gridSpan w:val="3"/>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 xml:space="preserve">         万元</w:t>
            </w:r>
          </w:p>
        </w:tc>
        <w:tc>
          <w:tcPr>
            <w:tcW w:w="2039" w:type="dxa"/>
            <w:gridSpan w:val="6"/>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630" w:firstLineChars="30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从业人员</w:t>
            </w:r>
          </w:p>
        </w:tc>
        <w:tc>
          <w:tcPr>
            <w:tcW w:w="2039" w:type="dxa"/>
            <w:gridSpan w:val="4"/>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 xml:space="preserve">        人</w:t>
            </w:r>
          </w:p>
        </w:tc>
      </w:tr>
      <w:tr>
        <w:tblPrEx>
          <w:shd w:val="clear" w:color="auto" w:fill="FFFFFF"/>
          <w:tblCellMar>
            <w:top w:w="0" w:type="dxa"/>
            <w:left w:w="0" w:type="dxa"/>
            <w:bottom w:w="0" w:type="dxa"/>
            <w:right w:w="0" w:type="dxa"/>
          </w:tblCellMar>
        </w:tblPrEx>
        <w:trPr>
          <w:trHeight w:val="90" w:hRule="atLeast"/>
          <w:jc w:val="center"/>
        </w:trPr>
        <w:tc>
          <w:tcPr>
            <w:tcW w:w="1799" w:type="dxa"/>
            <w:vMerge w:val="continue"/>
            <w:tcBorders>
              <w:left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549" w:type="dxa"/>
            <w:gridSpan w:val="3"/>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292621"/>
                <w:szCs w:val="21"/>
              </w:rPr>
            </w:pPr>
            <w:r>
              <w:rPr>
                <w:rFonts w:hint="eastAsia" w:ascii="方正仿宋_GBK" w:hAnsi="方正仿宋_GBK" w:eastAsia="方正仿宋_GBK" w:cs="方正仿宋_GBK"/>
                <w:color w:val="292621"/>
                <w:szCs w:val="21"/>
              </w:rPr>
              <w:t>所属类别</w:t>
            </w:r>
          </w:p>
        </w:tc>
        <w:tc>
          <w:tcPr>
            <w:tcW w:w="6117" w:type="dxa"/>
            <w:gridSpan w:val="13"/>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rPr>
                <w:rStyle w:val="8"/>
                <w:rFonts w:hint="default" w:ascii="方正仿宋_GBK" w:hAnsi="方正仿宋_GBK" w:eastAsia="方正仿宋_GBK" w:cs="方正仿宋_GBK"/>
                <w:color w:val="0C0C0C"/>
                <w:sz w:val="21"/>
                <w:szCs w:val="21"/>
              </w:rPr>
            </w:pPr>
            <w:r>
              <w:rPr>
                <w:rFonts w:hint="eastAsia" w:ascii="方正仿宋_GBK" w:hAnsi="方正仿宋_GBK" w:eastAsia="方正仿宋_GBK" w:cs="方正仿宋_GBK"/>
                <w:color w:val="292621"/>
                <w:sz w:val="21"/>
                <w:szCs w:val="21"/>
              </w:rPr>
              <w:t>□</w:t>
            </w:r>
            <w:r>
              <w:rPr>
                <w:rFonts w:hint="eastAsia" w:ascii="方正仿宋_GBK" w:hAnsi="方正仿宋_GBK" w:eastAsia="方正仿宋_GBK" w:cs="方正仿宋_GBK"/>
                <w:color w:val="292621"/>
                <w:kern w:val="2"/>
                <w:sz w:val="21"/>
                <w:szCs w:val="21"/>
              </w:rPr>
              <w:t xml:space="preserve">中央企业  </w:t>
            </w:r>
            <w:r>
              <w:rPr>
                <w:rFonts w:hint="eastAsia" w:ascii="方正仿宋_GBK" w:hAnsi="方正仿宋_GBK" w:eastAsia="方正仿宋_GBK" w:cs="方正仿宋_GBK"/>
                <w:color w:val="292621"/>
                <w:sz w:val="21"/>
                <w:szCs w:val="21"/>
              </w:rPr>
              <w:t xml:space="preserve">  □</w:t>
            </w:r>
            <w:r>
              <w:rPr>
                <w:rFonts w:hint="eastAsia" w:ascii="方正仿宋_GBK" w:hAnsi="方正仿宋_GBK" w:eastAsia="方正仿宋_GBK" w:cs="方正仿宋_GBK"/>
                <w:color w:val="292621"/>
                <w:kern w:val="2"/>
                <w:sz w:val="21"/>
                <w:szCs w:val="21"/>
              </w:rPr>
              <w:t xml:space="preserve">中央企业控股/参股  </w:t>
            </w:r>
            <w:r>
              <w:rPr>
                <w:rFonts w:hint="eastAsia" w:ascii="方正仿宋_GBK" w:hAnsi="方正仿宋_GBK" w:eastAsia="方正仿宋_GBK" w:cs="方正仿宋_GBK"/>
                <w:color w:val="292621"/>
                <w:sz w:val="21"/>
                <w:szCs w:val="21"/>
              </w:rPr>
              <w:t xml:space="preserve"> □</w:t>
            </w:r>
            <w:r>
              <w:rPr>
                <w:rStyle w:val="8"/>
                <w:rFonts w:hint="default" w:ascii="方正仿宋_GBK" w:hAnsi="方正仿宋_GBK" w:eastAsia="方正仿宋_GBK" w:cs="方正仿宋_GBK"/>
                <w:color w:val="0C0C0C"/>
                <w:sz w:val="21"/>
                <w:szCs w:val="21"/>
              </w:rPr>
              <w:t xml:space="preserve">国有企业  </w:t>
            </w:r>
            <w:r>
              <w:rPr>
                <w:rFonts w:hint="eastAsia" w:ascii="方正仿宋_GBK" w:hAnsi="方正仿宋_GBK" w:eastAsia="方正仿宋_GBK" w:cs="方正仿宋_GBK"/>
                <w:color w:val="292621"/>
                <w:sz w:val="21"/>
                <w:szCs w:val="21"/>
              </w:rPr>
              <w:t>□</w:t>
            </w:r>
            <w:r>
              <w:rPr>
                <w:rStyle w:val="8"/>
                <w:rFonts w:hint="default" w:ascii="方正仿宋_GBK" w:hAnsi="方正仿宋_GBK" w:eastAsia="方正仿宋_GBK" w:cs="方正仿宋_GBK"/>
                <w:color w:val="0C0C0C"/>
                <w:sz w:val="21"/>
                <w:szCs w:val="21"/>
              </w:rPr>
              <w:t>民营企业</w:t>
            </w:r>
          </w:p>
          <w:p>
            <w:pPr>
              <w:pStyle w:val="3"/>
              <w:widowControl/>
              <w:spacing w:line="300" w:lineRule="exac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w:t>
            </w:r>
            <w:r>
              <w:rPr>
                <w:rFonts w:hint="eastAsia" w:ascii="方正仿宋_GBK" w:hAnsi="方正仿宋_GBK" w:eastAsia="方正仿宋_GBK" w:cs="方正仿宋_GBK"/>
                <w:color w:val="292621"/>
                <w:kern w:val="2"/>
                <w:sz w:val="21"/>
                <w:szCs w:val="21"/>
              </w:rPr>
              <w:t xml:space="preserve">世界500强 </w:t>
            </w:r>
            <w:r>
              <w:rPr>
                <w:rFonts w:hint="eastAsia" w:ascii="方正仿宋_GBK" w:hAnsi="方正仿宋_GBK" w:eastAsia="方正仿宋_GBK" w:cs="方正仿宋_GBK"/>
                <w:color w:val="292621"/>
                <w:sz w:val="21"/>
                <w:szCs w:val="21"/>
              </w:rPr>
              <w:t> □</w:t>
            </w:r>
            <w:r>
              <w:rPr>
                <w:rFonts w:hint="eastAsia" w:ascii="方正仿宋_GBK" w:hAnsi="方正仿宋_GBK" w:eastAsia="方正仿宋_GBK" w:cs="方正仿宋_GBK"/>
                <w:color w:val="292621"/>
                <w:kern w:val="2"/>
                <w:sz w:val="21"/>
                <w:szCs w:val="21"/>
              </w:rPr>
              <w:t>中国500强</w:t>
            </w:r>
            <w:r>
              <w:rPr>
                <w:rFonts w:hint="eastAsia" w:ascii="方正仿宋_GBK" w:hAnsi="方正仿宋_GBK" w:eastAsia="方正仿宋_GBK" w:cs="方正仿宋_GBK"/>
                <w:color w:val="292621"/>
                <w:sz w:val="21"/>
                <w:szCs w:val="21"/>
              </w:rPr>
              <w:t> </w:t>
            </w:r>
            <w:r>
              <w:rPr>
                <w:rFonts w:hint="eastAsia" w:ascii="方正仿宋_GBK" w:hAnsi="方正仿宋_GBK" w:eastAsia="方正仿宋_GBK" w:cs="方正仿宋_GBK"/>
                <w:color w:val="292621"/>
                <w:sz w:val="21"/>
                <w:szCs w:val="21"/>
                <w:lang w:val="en-US" w:eastAsia="zh-CN"/>
              </w:rPr>
              <w:t xml:space="preserve"> </w:t>
            </w:r>
            <w:r>
              <w:rPr>
                <w:rFonts w:hint="eastAsia" w:ascii="方正仿宋_GBK" w:hAnsi="方正仿宋_GBK" w:eastAsia="方正仿宋_GBK" w:cs="方正仿宋_GBK"/>
                <w:color w:val="292621"/>
                <w:sz w:val="21"/>
                <w:szCs w:val="21"/>
              </w:rPr>
              <w:t> □</w:t>
            </w:r>
            <w:r>
              <w:rPr>
                <w:rFonts w:hint="eastAsia" w:ascii="方正仿宋_GBK" w:hAnsi="方正仿宋_GBK" w:eastAsia="方正仿宋_GBK" w:cs="方正仿宋_GBK"/>
                <w:color w:val="292621"/>
                <w:kern w:val="2"/>
                <w:sz w:val="21"/>
                <w:szCs w:val="21"/>
              </w:rPr>
              <w:t>民企500强 </w:t>
            </w:r>
          </w:p>
        </w:tc>
      </w:tr>
      <w:tr>
        <w:tblPrEx>
          <w:shd w:val="clear" w:color="auto" w:fill="FFFFFF"/>
          <w:tblCellMar>
            <w:top w:w="0" w:type="dxa"/>
            <w:left w:w="0" w:type="dxa"/>
            <w:bottom w:w="0" w:type="dxa"/>
            <w:right w:w="0" w:type="dxa"/>
          </w:tblCellMar>
        </w:tblPrEx>
        <w:trPr>
          <w:trHeight w:val="397" w:hRule="exact"/>
          <w:jc w:val="center"/>
        </w:trPr>
        <w:tc>
          <w:tcPr>
            <w:tcW w:w="1799" w:type="dxa"/>
            <w:vMerge w:val="continue"/>
            <w:tcBorders>
              <w:left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549" w:type="dxa"/>
            <w:gridSpan w:val="3"/>
            <w:vMerge w:val="restart"/>
            <w:tcBorders>
              <w:top w:val="nil"/>
              <w:left w:val="nil"/>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主要产品</w:t>
            </w:r>
          </w:p>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（或服务）名称</w:t>
            </w:r>
          </w:p>
        </w:tc>
        <w:tc>
          <w:tcPr>
            <w:tcW w:w="3086" w:type="dxa"/>
            <w:gridSpan w:val="7"/>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1.</w:t>
            </w:r>
          </w:p>
        </w:tc>
        <w:tc>
          <w:tcPr>
            <w:tcW w:w="1927" w:type="dxa"/>
            <w:gridSpan w:val="5"/>
            <w:vMerge w:val="restart"/>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占收入总额比例</w:t>
            </w:r>
          </w:p>
        </w:tc>
        <w:tc>
          <w:tcPr>
            <w:tcW w:w="1104" w:type="dxa"/>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jc w:val="righ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 ％</w:t>
            </w:r>
          </w:p>
        </w:tc>
      </w:tr>
      <w:tr>
        <w:tblPrEx>
          <w:shd w:val="clear" w:color="auto" w:fill="FFFFFF"/>
          <w:tblCellMar>
            <w:top w:w="0" w:type="dxa"/>
            <w:left w:w="0" w:type="dxa"/>
            <w:bottom w:w="0" w:type="dxa"/>
            <w:right w:w="0" w:type="dxa"/>
          </w:tblCellMar>
        </w:tblPrEx>
        <w:trPr>
          <w:trHeight w:val="397" w:hRule="exact"/>
          <w:jc w:val="center"/>
        </w:trPr>
        <w:tc>
          <w:tcPr>
            <w:tcW w:w="1799" w:type="dxa"/>
            <w:vMerge w:val="continue"/>
            <w:tcBorders>
              <w:left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continue"/>
            <w:tcBorders>
              <w:left w:val="nil"/>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3086" w:type="dxa"/>
            <w:gridSpan w:val="7"/>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2.</w:t>
            </w:r>
          </w:p>
        </w:tc>
        <w:tc>
          <w:tcPr>
            <w:tcW w:w="1927" w:type="dxa"/>
            <w:gridSpan w:val="5"/>
            <w:vMerge w:val="continue"/>
            <w:tcBorders>
              <w:top w:val="single" w:color="000000" w:sz="6" w:space="0"/>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104" w:type="dxa"/>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jc w:val="righ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w:t>
            </w:r>
          </w:p>
        </w:tc>
      </w:tr>
      <w:tr>
        <w:tblPrEx>
          <w:shd w:val="clear" w:color="auto" w:fill="FFFFFF"/>
          <w:tblCellMar>
            <w:top w:w="0" w:type="dxa"/>
            <w:left w:w="0" w:type="dxa"/>
            <w:bottom w:w="0" w:type="dxa"/>
            <w:right w:w="0" w:type="dxa"/>
          </w:tblCellMar>
        </w:tblPrEx>
        <w:trPr>
          <w:trHeight w:val="397" w:hRule="exact"/>
          <w:jc w:val="center"/>
        </w:trPr>
        <w:tc>
          <w:tcPr>
            <w:tcW w:w="1799" w:type="dxa"/>
            <w:vMerge w:val="continue"/>
            <w:tcBorders>
              <w:left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continue"/>
            <w:tcBorders>
              <w:left w:val="nil"/>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3086" w:type="dxa"/>
            <w:gridSpan w:val="7"/>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firstLineChars="20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3.</w:t>
            </w:r>
          </w:p>
        </w:tc>
        <w:tc>
          <w:tcPr>
            <w:tcW w:w="1927" w:type="dxa"/>
            <w:gridSpan w:val="5"/>
            <w:vMerge w:val="continue"/>
            <w:tcBorders>
              <w:top w:val="single" w:color="000000" w:sz="6" w:space="0"/>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104" w:type="dxa"/>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jc w:val="righ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w:t>
            </w:r>
          </w:p>
        </w:tc>
      </w:tr>
      <w:tr>
        <w:tblPrEx>
          <w:shd w:val="clear" w:color="auto" w:fill="FFFFFF"/>
          <w:tblCellMar>
            <w:top w:w="0" w:type="dxa"/>
            <w:left w:w="0" w:type="dxa"/>
            <w:bottom w:w="0" w:type="dxa"/>
            <w:right w:w="0" w:type="dxa"/>
          </w:tblCellMar>
        </w:tblPrEx>
        <w:trPr>
          <w:trHeight w:val="397" w:hRule="exact"/>
          <w:jc w:val="center"/>
        </w:trPr>
        <w:tc>
          <w:tcPr>
            <w:tcW w:w="1799" w:type="dxa"/>
            <w:vMerge w:val="continue"/>
            <w:tcBorders>
              <w:left w:val="single" w:color="000000" w:sz="6" w:space="0"/>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continue"/>
            <w:tcBorders>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6117" w:type="dxa"/>
            <w:gridSpan w:val="13"/>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w:t>
            </w:r>
          </w:p>
        </w:tc>
      </w:tr>
      <w:tr>
        <w:tblPrEx>
          <w:shd w:val="clear" w:color="auto" w:fill="FFFFFF"/>
          <w:tblCellMar>
            <w:top w:w="0" w:type="dxa"/>
            <w:left w:w="0" w:type="dxa"/>
            <w:bottom w:w="0" w:type="dxa"/>
            <w:right w:w="0" w:type="dxa"/>
          </w:tblCellMar>
        </w:tblPrEx>
        <w:trPr>
          <w:trHeight w:val="397" w:hRule="exact"/>
          <w:jc w:val="center"/>
        </w:trPr>
        <w:tc>
          <w:tcPr>
            <w:tcW w:w="1799"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企业</w:t>
            </w:r>
          </w:p>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税收</w:t>
            </w:r>
          </w:p>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缴纳</w:t>
            </w:r>
          </w:p>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情况</w:t>
            </w:r>
          </w:p>
        </w:tc>
        <w:tc>
          <w:tcPr>
            <w:tcW w:w="1549"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税收缴纳情况（填写申报核查年度情况，分税种，全部并逐一列明）</w:t>
            </w:r>
          </w:p>
        </w:tc>
        <w:tc>
          <w:tcPr>
            <w:tcW w:w="1529"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税种</w:t>
            </w:r>
          </w:p>
        </w:tc>
        <w:tc>
          <w:tcPr>
            <w:tcW w:w="1529" w:type="dxa"/>
            <w:gridSpan w:val="4"/>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ind w:firstLine="42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纳税额</w:t>
            </w:r>
          </w:p>
          <w:p>
            <w:pPr>
              <w:pStyle w:val="3"/>
              <w:widowControl/>
              <w:spacing w:line="300" w:lineRule="exact"/>
              <w:ind w:firstLine="42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（万元）</w:t>
            </w:r>
          </w:p>
        </w:tc>
        <w:tc>
          <w:tcPr>
            <w:tcW w:w="1529" w:type="dxa"/>
            <w:gridSpan w:val="5"/>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其中，中央分享</w:t>
            </w:r>
          </w:p>
          <w:p>
            <w:pPr>
              <w:pStyle w:val="3"/>
              <w:widowControl/>
              <w:spacing w:line="300" w:lineRule="exact"/>
              <w:ind w:firstLine="42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（万元）</w:t>
            </w: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ind w:firstLine="42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地方留成</w:t>
            </w:r>
          </w:p>
          <w:p>
            <w:pPr>
              <w:pStyle w:val="3"/>
              <w:widowControl/>
              <w:spacing w:line="300" w:lineRule="exact"/>
              <w:ind w:firstLine="42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（万元）</w:t>
            </w:r>
          </w:p>
        </w:tc>
      </w:tr>
      <w:tr>
        <w:tblPrEx>
          <w:shd w:val="clear" w:color="auto" w:fill="FFFFFF"/>
          <w:tblCellMar>
            <w:top w:w="0" w:type="dxa"/>
            <w:left w:w="0" w:type="dxa"/>
            <w:bottom w:w="0" w:type="dxa"/>
            <w:right w:w="0" w:type="dxa"/>
          </w:tblCellMar>
        </w:tblPrEx>
        <w:trPr>
          <w:trHeight w:val="397" w:hRule="exact"/>
          <w:jc w:val="center"/>
        </w:trPr>
        <w:tc>
          <w:tcPr>
            <w:tcW w:w="1799" w:type="dxa"/>
            <w:vMerge w:val="continue"/>
            <w:tcBorders>
              <w:top w:val="single" w:color="000000" w:sz="6" w:space="0"/>
              <w:left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continue"/>
            <w:tcBorders>
              <w:top w:val="single" w:color="000000" w:sz="6" w:space="0"/>
              <w:left w:val="nil"/>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29" w:type="dxa"/>
            <w:gridSpan w:val="2"/>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1.</w:t>
            </w:r>
          </w:p>
        </w:tc>
        <w:tc>
          <w:tcPr>
            <w:tcW w:w="1529" w:type="dxa"/>
            <w:gridSpan w:val="4"/>
            <w:tcBorders>
              <w:top w:val="single" w:color="000000" w:sz="6" w:space="0"/>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lang w:eastAsia="en-US" w:bidi="en-US"/>
              </w:rPr>
            </w:pPr>
          </w:p>
        </w:tc>
        <w:tc>
          <w:tcPr>
            <w:tcW w:w="1529" w:type="dxa"/>
            <w:gridSpan w:val="5"/>
            <w:tcBorders>
              <w:top w:val="single" w:color="000000" w:sz="6" w:space="0"/>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lang w:eastAsia="en-US" w:bidi="en-US"/>
              </w:rPr>
            </w:pPr>
          </w:p>
        </w:tc>
        <w:tc>
          <w:tcPr>
            <w:tcW w:w="1530" w:type="dxa"/>
            <w:gridSpan w:val="2"/>
            <w:tcBorders>
              <w:top w:val="single" w:color="000000" w:sz="6" w:space="0"/>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lang w:eastAsia="en-US" w:bidi="en-US"/>
              </w:rPr>
            </w:pPr>
          </w:p>
        </w:tc>
      </w:tr>
      <w:tr>
        <w:tblPrEx>
          <w:shd w:val="clear" w:color="auto" w:fill="FFFFFF"/>
          <w:tblCellMar>
            <w:top w:w="0" w:type="dxa"/>
            <w:left w:w="0" w:type="dxa"/>
            <w:bottom w:w="0" w:type="dxa"/>
            <w:right w:w="0" w:type="dxa"/>
          </w:tblCellMar>
        </w:tblPrEx>
        <w:trPr>
          <w:trHeight w:val="397" w:hRule="exact"/>
          <w:jc w:val="center"/>
        </w:trPr>
        <w:tc>
          <w:tcPr>
            <w:tcW w:w="1799" w:type="dxa"/>
            <w:vMerge w:val="continue"/>
            <w:tcBorders>
              <w:left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continue"/>
            <w:tcBorders>
              <w:left w:val="nil"/>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29" w:type="dxa"/>
            <w:gridSpan w:val="2"/>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2.</w:t>
            </w:r>
          </w:p>
        </w:tc>
        <w:tc>
          <w:tcPr>
            <w:tcW w:w="1529" w:type="dxa"/>
            <w:gridSpan w:val="4"/>
            <w:tcBorders>
              <w:top w:val="nil"/>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lang w:eastAsia="en-US" w:bidi="en-US"/>
              </w:rPr>
            </w:pPr>
          </w:p>
        </w:tc>
        <w:tc>
          <w:tcPr>
            <w:tcW w:w="1529" w:type="dxa"/>
            <w:gridSpan w:val="5"/>
            <w:tcBorders>
              <w:top w:val="nil"/>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lang w:eastAsia="en-US" w:bidi="en-US"/>
              </w:rPr>
            </w:pPr>
          </w:p>
        </w:tc>
        <w:tc>
          <w:tcPr>
            <w:tcW w:w="1530" w:type="dxa"/>
            <w:gridSpan w:val="2"/>
            <w:tcBorders>
              <w:top w:val="nil"/>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lang w:eastAsia="en-US" w:bidi="en-US"/>
              </w:rPr>
            </w:pPr>
          </w:p>
        </w:tc>
      </w:tr>
      <w:tr>
        <w:tblPrEx>
          <w:shd w:val="clear" w:color="auto" w:fill="FFFFFF"/>
          <w:tblCellMar>
            <w:top w:w="0" w:type="dxa"/>
            <w:left w:w="0" w:type="dxa"/>
            <w:bottom w:w="0" w:type="dxa"/>
            <w:right w:w="0" w:type="dxa"/>
          </w:tblCellMar>
        </w:tblPrEx>
        <w:trPr>
          <w:trHeight w:val="397" w:hRule="exact"/>
          <w:jc w:val="center"/>
        </w:trPr>
        <w:tc>
          <w:tcPr>
            <w:tcW w:w="1799" w:type="dxa"/>
            <w:vMerge w:val="continue"/>
            <w:tcBorders>
              <w:left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continue"/>
            <w:tcBorders>
              <w:left w:val="nil"/>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29" w:type="dxa"/>
            <w:gridSpan w:val="2"/>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3.</w:t>
            </w:r>
          </w:p>
        </w:tc>
        <w:tc>
          <w:tcPr>
            <w:tcW w:w="1529" w:type="dxa"/>
            <w:gridSpan w:val="4"/>
            <w:tcBorders>
              <w:top w:val="nil"/>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lang w:eastAsia="en-US" w:bidi="en-US"/>
              </w:rPr>
            </w:pPr>
          </w:p>
        </w:tc>
        <w:tc>
          <w:tcPr>
            <w:tcW w:w="1529" w:type="dxa"/>
            <w:gridSpan w:val="5"/>
            <w:tcBorders>
              <w:top w:val="nil"/>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lang w:eastAsia="en-US" w:bidi="en-US"/>
              </w:rPr>
            </w:pPr>
          </w:p>
        </w:tc>
        <w:tc>
          <w:tcPr>
            <w:tcW w:w="1530" w:type="dxa"/>
            <w:gridSpan w:val="2"/>
            <w:tcBorders>
              <w:top w:val="nil"/>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lang w:eastAsia="en-US" w:bidi="en-US"/>
              </w:rPr>
            </w:pPr>
          </w:p>
        </w:tc>
      </w:tr>
      <w:tr>
        <w:tblPrEx>
          <w:shd w:val="clear" w:color="auto" w:fill="FFFFFF"/>
          <w:tblCellMar>
            <w:top w:w="0" w:type="dxa"/>
            <w:left w:w="0" w:type="dxa"/>
            <w:bottom w:w="0" w:type="dxa"/>
            <w:right w:w="0" w:type="dxa"/>
          </w:tblCellMar>
        </w:tblPrEx>
        <w:trPr>
          <w:trHeight w:val="397" w:hRule="exact"/>
          <w:jc w:val="center"/>
        </w:trPr>
        <w:tc>
          <w:tcPr>
            <w:tcW w:w="1799" w:type="dxa"/>
            <w:vMerge w:val="continue"/>
            <w:tcBorders>
              <w:left w:val="single" w:color="000000" w:sz="6" w:space="0"/>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continue"/>
            <w:tcBorders>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6117" w:type="dxa"/>
            <w:gridSpan w:val="13"/>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w:t>
            </w:r>
          </w:p>
        </w:tc>
      </w:tr>
      <w:tr>
        <w:tblPrEx>
          <w:shd w:val="clear" w:color="auto" w:fill="FFFFFF"/>
          <w:tblCellMar>
            <w:top w:w="0" w:type="dxa"/>
            <w:left w:w="0" w:type="dxa"/>
            <w:bottom w:w="0" w:type="dxa"/>
            <w:right w:w="0" w:type="dxa"/>
          </w:tblCellMar>
        </w:tblPrEx>
        <w:trPr>
          <w:trHeight w:val="454" w:hRule="exact"/>
          <w:jc w:val="center"/>
        </w:trPr>
        <w:tc>
          <w:tcPr>
            <w:tcW w:w="1799"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下属</w:t>
            </w:r>
          </w:p>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企业</w:t>
            </w:r>
          </w:p>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情况</w:t>
            </w:r>
          </w:p>
        </w:tc>
        <w:tc>
          <w:tcPr>
            <w:tcW w:w="1549" w:type="dxa"/>
            <w:gridSpan w:val="3"/>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下属企业数量</w:t>
            </w:r>
          </w:p>
        </w:tc>
        <w:tc>
          <w:tcPr>
            <w:tcW w:w="3086" w:type="dxa"/>
            <w:gridSpan w:val="7"/>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                            个</w:t>
            </w:r>
          </w:p>
        </w:tc>
        <w:tc>
          <w:tcPr>
            <w:tcW w:w="1927" w:type="dxa"/>
            <w:gridSpan w:val="5"/>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其中，省外企业数量</w:t>
            </w:r>
          </w:p>
        </w:tc>
        <w:tc>
          <w:tcPr>
            <w:tcW w:w="1104"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ind w:firstLine="420"/>
              <w:jc w:val="righ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个</w:t>
            </w:r>
          </w:p>
        </w:tc>
      </w:tr>
      <w:tr>
        <w:tblPrEx>
          <w:shd w:val="clear" w:color="auto" w:fill="FFFFFF"/>
          <w:tblCellMar>
            <w:top w:w="0" w:type="dxa"/>
            <w:left w:w="0" w:type="dxa"/>
            <w:bottom w:w="0" w:type="dxa"/>
            <w:right w:w="0" w:type="dxa"/>
          </w:tblCellMar>
        </w:tblPrEx>
        <w:trPr>
          <w:trHeight w:val="454" w:hRule="exact"/>
          <w:jc w:val="center"/>
        </w:trPr>
        <w:tc>
          <w:tcPr>
            <w:tcW w:w="1799"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restart"/>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firstLineChars="20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下属企业</w:t>
            </w:r>
          </w:p>
          <w:p>
            <w:pPr>
              <w:pStyle w:val="3"/>
              <w:widowControl/>
              <w:spacing w:line="300" w:lineRule="exact"/>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（占股50%以上子公司和分公司全部逐一列明）</w:t>
            </w:r>
          </w:p>
        </w:tc>
        <w:tc>
          <w:tcPr>
            <w:tcW w:w="3086" w:type="dxa"/>
            <w:gridSpan w:val="7"/>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企业名称</w:t>
            </w:r>
          </w:p>
        </w:tc>
        <w:tc>
          <w:tcPr>
            <w:tcW w:w="1927" w:type="dxa"/>
            <w:gridSpan w:val="5"/>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注册地（省+市）</w:t>
            </w:r>
          </w:p>
        </w:tc>
        <w:tc>
          <w:tcPr>
            <w:tcW w:w="1104" w:type="dxa"/>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持股比例</w:t>
            </w:r>
          </w:p>
        </w:tc>
      </w:tr>
      <w:tr>
        <w:tblPrEx>
          <w:shd w:val="clear" w:color="auto" w:fill="FFFFFF"/>
          <w:tblCellMar>
            <w:top w:w="0" w:type="dxa"/>
            <w:left w:w="0" w:type="dxa"/>
            <w:bottom w:w="0" w:type="dxa"/>
            <w:right w:w="0" w:type="dxa"/>
          </w:tblCellMar>
        </w:tblPrEx>
        <w:trPr>
          <w:trHeight w:val="454" w:hRule="exact"/>
          <w:jc w:val="center"/>
        </w:trPr>
        <w:tc>
          <w:tcPr>
            <w:tcW w:w="1799" w:type="dxa"/>
            <w:vMerge w:val="continue"/>
            <w:tcBorders>
              <w:top w:val="nil"/>
              <w:left w:val="single" w:color="000000" w:sz="6" w:space="0"/>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continue"/>
            <w:tcBorders>
              <w:left w:val="nil"/>
              <w:right w:val="single" w:color="000000" w:sz="6" w:space="0"/>
            </w:tcBorders>
            <w:shd w:val="clear" w:color="auto" w:fill="FFFFFF"/>
            <w:noWrap w:val="0"/>
            <w:vAlign w:val="center"/>
          </w:tcPr>
          <w:p>
            <w:pPr>
              <w:pStyle w:val="3"/>
              <w:widowControl/>
              <w:spacing w:line="300" w:lineRule="exact"/>
              <w:jc w:val="both"/>
              <w:rPr>
                <w:rFonts w:hint="eastAsia" w:ascii="方正仿宋_GBK" w:hAnsi="方正仿宋_GBK" w:eastAsia="方正仿宋_GBK" w:cs="方正仿宋_GBK"/>
                <w:color w:val="292621"/>
                <w:sz w:val="21"/>
                <w:szCs w:val="21"/>
              </w:rPr>
            </w:pPr>
          </w:p>
        </w:tc>
        <w:tc>
          <w:tcPr>
            <w:tcW w:w="3086" w:type="dxa"/>
            <w:gridSpan w:val="7"/>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1.</w:t>
            </w:r>
          </w:p>
        </w:tc>
        <w:tc>
          <w:tcPr>
            <w:tcW w:w="1927" w:type="dxa"/>
            <w:gridSpan w:val="5"/>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p>
        </w:tc>
        <w:tc>
          <w:tcPr>
            <w:tcW w:w="1104" w:type="dxa"/>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p>
        </w:tc>
      </w:tr>
      <w:tr>
        <w:tblPrEx>
          <w:shd w:val="clear" w:color="auto" w:fill="FFFFFF"/>
          <w:tblCellMar>
            <w:top w:w="0" w:type="dxa"/>
            <w:left w:w="0" w:type="dxa"/>
            <w:bottom w:w="0" w:type="dxa"/>
            <w:right w:w="0" w:type="dxa"/>
          </w:tblCellMar>
        </w:tblPrEx>
        <w:trPr>
          <w:trHeight w:val="454" w:hRule="exact"/>
          <w:jc w:val="center"/>
        </w:trPr>
        <w:tc>
          <w:tcPr>
            <w:tcW w:w="1799" w:type="dxa"/>
            <w:vMerge w:val="continue"/>
            <w:tcBorders>
              <w:top w:val="nil"/>
              <w:left w:val="single" w:color="000000" w:sz="6" w:space="0"/>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continue"/>
            <w:tcBorders>
              <w:top w:val="nil"/>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3086" w:type="dxa"/>
            <w:gridSpan w:val="7"/>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2.</w:t>
            </w:r>
          </w:p>
        </w:tc>
        <w:tc>
          <w:tcPr>
            <w:tcW w:w="1927" w:type="dxa"/>
            <w:gridSpan w:val="5"/>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p>
        </w:tc>
        <w:tc>
          <w:tcPr>
            <w:tcW w:w="1104" w:type="dxa"/>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p>
        </w:tc>
      </w:tr>
      <w:tr>
        <w:tblPrEx>
          <w:shd w:val="clear" w:color="auto" w:fill="FFFFFF"/>
          <w:tblCellMar>
            <w:top w:w="0" w:type="dxa"/>
            <w:left w:w="0" w:type="dxa"/>
            <w:bottom w:w="0" w:type="dxa"/>
            <w:right w:w="0" w:type="dxa"/>
          </w:tblCellMar>
        </w:tblPrEx>
        <w:trPr>
          <w:trHeight w:val="454" w:hRule="exact"/>
          <w:jc w:val="center"/>
        </w:trPr>
        <w:tc>
          <w:tcPr>
            <w:tcW w:w="1799" w:type="dxa"/>
            <w:vMerge w:val="continue"/>
            <w:tcBorders>
              <w:top w:val="nil"/>
              <w:left w:val="single" w:color="000000" w:sz="6" w:space="0"/>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continue"/>
            <w:tcBorders>
              <w:top w:val="nil"/>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3086" w:type="dxa"/>
            <w:gridSpan w:val="7"/>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3.</w:t>
            </w:r>
          </w:p>
        </w:tc>
        <w:tc>
          <w:tcPr>
            <w:tcW w:w="1927" w:type="dxa"/>
            <w:gridSpan w:val="5"/>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p>
        </w:tc>
        <w:tc>
          <w:tcPr>
            <w:tcW w:w="1104" w:type="dxa"/>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p>
        </w:tc>
      </w:tr>
      <w:tr>
        <w:tblPrEx>
          <w:shd w:val="clear" w:color="auto" w:fill="FFFFFF"/>
          <w:tblCellMar>
            <w:top w:w="0" w:type="dxa"/>
            <w:left w:w="0" w:type="dxa"/>
            <w:bottom w:w="0" w:type="dxa"/>
            <w:right w:w="0" w:type="dxa"/>
          </w:tblCellMar>
        </w:tblPrEx>
        <w:trPr>
          <w:trHeight w:val="454" w:hRule="exact"/>
          <w:jc w:val="center"/>
        </w:trPr>
        <w:tc>
          <w:tcPr>
            <w:tcW w:w="1799" w:type="dxa"/>
            <w:vMerge w:val="continue"/>
            <w:tcBorders>
              <w:top w:val="nil"/>
              <w:left w:val="single" w:color="000000" w:sz="6" w:space="0"/>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vMerge w:val="continue"/>
            <w:tcBorders>
              <w:top w:val="nil"/>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6117" w:type="dxa"/>
            <w:gridSpan w:val="13"/>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w:t>
            </w:r>
          </w:p>
        </w:tc>
      </w:tr>
      <w:tr>
        <w:tblPrEx>
          <w:shd w:val="clear" w:color="auto" w:fill="FFFFFF"/>
          <w:tblCellMar>
            <w:top w:w="0" w:type="dxa"/>
            <w:left w:w="0" w:type="dxa"/>
            <w:bottom w:w="0" w:type="dxa"/>
            <w:right w:w="0" w:type="dxa"/>
          </w:tblCellMar>
        </w:tblPrEx>
        <w:trPr>
          <w:trHeight w:val="454" w:hRule="exact"/>
          <w:jc w:val="center"/>
        </w:trPr>
        <w:tc>
          <w:tcPr>
            <w:tcW w:w="1799" w:type="dxa"/>
            <w:vMerge w:val="restart"/>
            <w:tcBorders>
              <w:top w:val="nil"/>
              <w:left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b/>
                <w:color w:val="292621"/>
                <w:szCs w:val="21"/>
              </w:rPr>
              <w:t>母公司情况</w:t>
            </w:r>
          </w:p>
        </w:tc>
        <w:tc>
          <w:tcPr>
            <w:tcW w:w="1549" w:type="dxa"/>
            <w:gridSpan w:val="3"/>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292621"/>
                <w:szCs w:val="21"/>
              </w:rPr>
              <w:t>企业名称</w:t>
            </w:r>
          </w:p>
        </w:tc>
        <w:tc>
          <w:tcPr>
            <w:tcW w:w="6117" w:type="dxa"/>
            <w:gridSpan w:val="13"/>
            <w:tcBorders>
              <w:top w:val="nil"/>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r>
      <w:tr>
        <w:tblPrEx>
          <w:shd w:val="clear" w:color="auto" w:fill="FFFFFF"/>
          <w:tblCellMar>
            <w:top w:w="0" w:type="dxa"/>
            <w:left w:w="0" w:type="dxa"/>
            <w:bottom w:w="0" w:type="dxa"/>
            <w:right w:w="0" w:type="dxa"/>
          </w:tblCellMar>
        </w:tblPrEx>
        <w:trPr>
          <w:trHeight w:val="454" w:hRule="exact"/>
          <w:jc w:val="center"/>
        </w:trPr>
        <w:tc>
          <w:tcPr>
            <w:tcW w:w="1799" w:type="dxa"/>
            <w:vMerge w:val="continue"/>
            <w:tcBorders>
              <w:left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292621"/>
                <w:szCs w:val="21"/>
              </w:rPr>
              <w:t>注册地</w:t>
            </w:r>
          </w:p>
        </w:tc>
        <w:tc>
          <w:tcPr>
            <w:tcW w:w="2047" w:type="dxa"/>
            <w:gridSpan w:val="4"/>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p>
        </w:tc>
        <w:tc>
          <w:tcPr>
            <w:tcW w:w="1039" w:type="dxa"/>
            <w:gridSpan w:val="3"/>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292621"/>
                <w:szCs w:val="21"/>
              </w:rPr>
              <w:t>注册时间</w:t>
            </w:r>
          </w:p>
        </w:tc>
        <w:tc>
          <w:tcPr>
            <w:tcW w:w="3031" w:type="dxa"/>
            <w:gridSpan w:val="6"/>
            <w:tcBorders>
              <w:top w:val="nil"/>
              <w:left w:val="nil"/>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r>
      <w:tr>
        <w:tblPrEx>
          <w:shd w:val="clear" w:color="auto" w:fill="FFFFFF"/>
          <w:tblCellMar>
            <w:top w:w="0" w:type="dxa"/>
            <w:left w:w="0" w:type="dxa"/>
            <w:bottom w:w="0" w:type="dxa"/>
            <w:right w:w="0" w:type="dxa"/>
          </w:tblCellMar>
        </w:tblPrEx>
        <w:trPr>
          <w:trHeight w:val="462" w:hRule="atLeast"/>
          <w:jc w:val="center"/>
        </w:trPr>
        <w:tc>
          <w:tcPr>
            <w:tcW w:w="1799" w:type="dxa"/>
            <w:vMerge w:val="continue"/>
            <w:tcBorders>
              <w:left w:val="single" w:color="000000" w:sz="6" w:space="0"/>
              <w:bottom w:val="single" w:color="000000" w:sz="6" w:space="0"/>
              <w:right w:val="single" w:color="000000" w:sz="6" w:space="0"/>
            </w:tcBorders>
            <w:shd w:val="clear" w:color="auto" w:fill="FFFFFF"/>
            <w:noWrap w:val="0"/>
            <w:vAlign w:val="center"/>
          </w:tcPr>
          <w:p>
            <w:pPr>
              <w:spacing w:line="300" w:lineRule="exact"/>
              <w:rPr>
                <w:rFonts w:hint="eastAsia" w:ascii="方正仿宋_GBK" w:hAnsi="方正仿宋_GBK" w:eastAsia="方正仿宋_GBK" w:cs="方正仿宋_GBK"/>
                <w:color w:val="000000"/>
                <w:szCs w:val="21"/>
              </w:rPr>
            </w:pPr>
          </w:p>
        </w:tc>
        <w:tc>
          <w:tcPr>
            <w:tcW w:w="1549" w:type="dxa"/>
            <w:gridSpan w:val="3"/>
            <w:tcBorders>
              <w:top w:val="nil"/>
              <w:left w:val="nil"/>
              <w:bottom w:val="single" w:color="000000" w:sz="6" w:space="0"/>
              <w:right w:val="single" w:color="000000" w:sz="6" w:space="0"/>
            </w:tcBorders>
            <w:shd w:val="clear" w:color="auto" w:fill="FFFFFF"/>
            <w:noWrap w:val="0"/>
            <w:vAlign w:val="center"/>
          </w:tcPr>
          <w:p>
            <w:pPr>
              <w:spacing w:line="300" w:lineRule="exact"/>
              <w:jc w:val="center"/>
              <w:rPr>
                <w:rFonts w:hint="eastAsia" w:ascii="方正仿宋_GBK" w:hAnsi="方正仿宋_GBK" w:eastAsia="方正仿宋_GBK" w:cs="方正仿宋_GBK"/>
                <w:color w:val="292621"/>
                <w:szCs w:val="21"/>
              </w:rPr>
            </w:pPr>
            <w:r>
              <w:rPr>
                <w:rFonts w:hint="eastAsia" w:ascii="方正仿宋_GBK" w:hAnsi="方正仿宋_GBK" w:eastAsia="方正仿宋_GBK" w:cs="方正仿宋_GBK"/>
                <w:color w:val="292621"/>
                <w:szCs w:val="21"/>
              </w:rPr>
              <w:t>所属类别</w:t>
            </w:r>
          </w:p>
        </w:tc>
        <w:tc>
          <w:tcPr>
            <w:tcW w:w="6117" w:type="dxa"/>
            <w:gridSpan w:val="13"/>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rPr>
                <w:rStyle w:val="8"/>
                <w:rFonts w:hint="default" w:ascii="方正仿宋_GBK" w:hAnsi="方正仿宋_GBK" w:eastAsia="方正仿宋_GBK" w:cs="方正仿宋_GBK"/>
                <w:color w:val="0C0C0C"/>
                <w:sz w:val="21"/>
                <w:szCs w:val="21"/>
              </w:rPr>
            </w:pPr>
            <w:r>
              <w:rPr>
                <w:rFonts w:hint="eastAsia" w:ascii="方正仿宋_GBK" w:hAnsi="方正仿宋_GBK" w:eastAsia="方正仿宋_GBK" w:cs="方正仿宋_GBK"/>
                <w:color w:val="292621"/>
                <w:sz w:val="21"/>
                <w:szCs w:val="21"/>
              </w:rPr>
              <w:t>□</w:t>
            </w:r>
            <w:r>
              <w:rPr>
                <w:rFonts w:hint="eastAsia" w:ascii="方正仿宋_GBK" w:hAnsi="方正仿宋_GBK" w:eastAsia="方正仿宋_GBK" w:cs="方正仿宋_GBK"/>
                <w:color w:val="292621"/>
                <w:kern w:val="2"/>
                <w:sz w:val="21"/>
                <w:szCs w:val="21"/>
              </w:rPr>
              <w:t>中央企业</w:t>
            </w:r>
            <w:r>
              <w:rPr>
                <w:rFonts w:hint="eastAsia" w:ascii="方正仿宋_GBK" w:hAnsi="方正仿宋_GBK" w:eastAsia="方正仿宋_GBK" w:cs="方正仿宋_GBK"/>
                <w:color w:val="292621"/>
                <w:sz w:val="21"/>
                <w:szCs w:val="21"/>
              </w:rPr>
              <w:t xml:space="preserve">    □</w:t>
            </w:r>
            <w:r>
              <w:rPr>
                <w:rFonts w:hint="eastAsia" w:ascii="方正仿宋_GBK" w:hAnsi="方正仿宋_GBK" w:eastAsia="方正仿宋_GBK" w:cs="方正仿宋_GBK"/>
                <w:color w:val="292621"/>
                <w:kern w:val="2"/>
                <w:sz w:val="21"/>
                <w:szCs w:val="21"/>
              </w:rPr>
              <w:t>中央企业控股/参股</w:t>
            </w:r>
            <w:r>
              <w:rPr>
                <w:rFonts w:hint="eastAsia" w:ascii="方正仿宋_GBK" w:hAnsi="方正仿宋_GBK" w:eastAsia="方正仿宋_GBK" w:cs="方正仿宋_GBK"/>
                <w:color w:val="292621"/>
                <w:sz w:val="21"/>
                <w:szCs w:val="21"/>
              </w:rPr>
              <w:t xml:space="preserve">   □</w:t>
            </w:r>
            <w:r>
              <w:rPr>
                <w:rStyle w:val="8"/>
                <w:rFonts w:hint="default" w:ascii="方正仿宋_GBK" w:hAnsi="方正仿宋_GBK" w:eastAsia="方正仿宋_GBK" w:cs="方正仿宋_GBK"/>
                <w:color w:val="0C0C0C"/>
                <w:sz w:val="21"/>
                <w:szCs w:val="21"/>
              </w:rPr>
              <w:t xml:space="preserve">国有企业  </w:t>
            </w:r>
            <w:r>
              <w:rPr>
                <w:rFonts w:hint="eastAsia" w:ascii="方正仿宋_GBK" w:hAnsi="方正仿宋_GBK" w:eastAsia="方正仿宋_GBK" w:cs="方正仿宋_GBK"/>
                <w:color w:val="292621"/>
                <w:sz w:val="21"/>
                <w:szCs w:val="21"/>
              </w:rPr>
              <w:t>□</w:t>
            </w:r>
            <w:r>
              <w:rPr>
                <w:rStyle w:val="8"/>
                <w:rFonts w:hint="default" w:ascii="方正仿宋_GBK" w:hAnsi="方正仿宋_GBK" w:eastAsia="方正仿宋_GBK" w:cs="方正仿宋_GBK"/>
                <w:color w:val="0C0C0C"/>
                <w:sz w:val="21"/>
                <w:szCs w:val="21"/>
              </w:rPr>
              <w:t>民营企业</w:t>
            </w:r>
          </w:p>
          <w:p>
            <w:pPr>
              <w:pStyle w:val="3"/>
              <w:widowControl/>
              <w:spacing w:line="300" w:lineRule="exact"/>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w:t>
            </w:r>
            <w:r>
              <w:rPr>
                <w:rFonts w:hint="eastAsia" w:ascii="方正仿宋_GBK" w:hAnsi="方正仿宋_GBK" w:eastAsia="方正仿宋_GBK" w:cs="方正仿宋_GBK"/>
                <w:color w:val="292621"/>
                <w:kern w:val="2"/>
                <w:sz w:val="21"/>
                <w:szCs w:val="21"/>
              </w:rPr>
              <w:t>世界500强</w:t>
            </w:r>
            <w:r>
              <w:rPr>
                <w:rFonts w:hint="eastAsia" w:ascii="方正仿宋_GBK" w:hAnsi="方正仿宋_GBK" w:eastAsia="方正仿宋_GBK" w:cs="方正仿宋_GBK"/>
                <w:color w:val="292621"/>
                <w:sz w:val="21"/>
                <w:szCs w:val="21"/>
              </w:rPr>
              <w:t xml:space="preserve">  □</w:t>
            </w:r>
            <w:r>
              <w:rPr>
                <w:rFonts w:hint="eastAsia" w:ascii="方正仿宋_GBK" w:hAnsi="方正仿宋_GBK" w:eastAsia="方正仿宋_GBK" w:cs="方正仿宋_GBK"/>
                <w:color w:val="292621"/>
                <w:kern w:val="2"/>
                <w:sz w:val="21"/>
                <w:szCs w:val="21"/>
              </w:rPr>
              <w:t>中国500强 </w:t>
            </w:r>
            <w:r>
              <w:rPr>
                <w:rFonts w:hint="eastAsia" w:ascii="方正仿宋_GBK" w:hAnsi="方正仿宋_GBK" w:eastAsia="方正仿宋_GBK" w:cs="方正仿宋_GBK"/>
                <w:color w:val="292621"/>
                <w:sz w:val="21"/>
                <w:szCs w:val="21"/>
              </w:rPr>
              <w:t xml:space="preserve">   □</w:t>
            </w:r>
            <w:r>
              <w:rPr>
                <w:rFonts w:hint="eastAsia" w:ascii="方正仿宋_GBK" w:hAnsi="方正仿宋_GBK" w:eastAsia="方正仿宋_GBK" w:cs="方正仿宋_GBK"/>
                <w:color w:val="292621"/>
                <w:kern w:val="2"/>
                <w:sz w:val="21"/>
                <w:szCs w:val="21"/>
              </w:rPr>
              <w:t>民企500强</w:t>
            </w:r>
          </w:p>
          <w:p>
            <w:pPr>
              <w:spacing w:line="300" w:lineRule="exact"/>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292621"/>
                <w:szCs w:val="21"/>
              </w:rPr>
              <w:t xml:space="preserve">□资产总额 </w:t>
            </w:r>
            <w:r>
              <w:rPr>
                <w:rFonts w:hint="eastAsia" w:ascii="方正仿宋_GBK" w:hAnsi="方正仿宋_GBK" w:eastAsia="方正仿宋_GBK" w:cs="方正仿宋_GBK"/>
                <w:color w:val="292621"/>
                <w:szCs w:val="21"/>
                <w:u w:val="single"/>
              </w:rPr>
              <w:t xml:space="preserve">          </w:t>
            </w:r>
            <w:r>
              <w:rPr>
                <w:rFonts w:hint="eastAsia" w:ascii="方正仿宋_GBK" w:hAnsi="方正仿宋_GBK" w:eastAsia="方正仿宋_GBK" w:cs="方正仿宋_GBK"/>
                <w:color w:val="292621"/>
                <w:szCs w:val="21"/>
              </w:rPr>
              <w:t>亿元/亿美元</w:t>
            </w:r>
            <w:r>
              <w:rPr>
                <w:rStyle w:val="8"/>
                <w:rFonts w:hint="default" w:ascii="方正仿宋_GBK" w:hAnsi="方正仿宋_GBK" w:eastAsia="方正仿宋_GBK" w:cs="方正仿宋_GBK"/>
                <w:color w:val="0C0C0C"/>
                <w:kern w:val="0"/>
                <w:sz w:val="21"/>
                <w:szCs w:val="21"/>
                <w:lang w:bidi="en-US"/>
              </w:rPr>
              <w:t>（申请跨国公司区域总部填写） </w:t>
            </w:r>
          </w:p>
        </w:tc>
      </w:tr>
      <w:tr>
        <w:tblPrEx>
          <w:shd w:val="clear" w:color="auto" w:fill="FFFFFF"/>
          <w:tblCellMar>
            <w:top w:w="0" w:type="dxa"/>
            <w:left w:w="0" w:type="dxa"/>
            <w:bottom w:w="0" w:type="dxa"/>
            <w:right w:w="0" w:type="dxa"/>
          </w:tblCellMar>
        </w:tblPrEx>
        <w:trPr>
          <w:trHeight w:val="297" w:hRule="atLeast"/>
          <w:jc w:val="center"/>
        </w:trPr>
        <w:tc>
          <w:tcPr>
            <w:tcW w:w="9465" w:type="dxa"/>
            <w:gridSpan w:val="17"/>
            <w:tcBorders>
              <w:top w:val="nil"/>
              <w:left w:val="single" w:color="000000" w:sz="6" w:space="0"/>
              <w:bottom w:val="single" w:color="000000" w:sz="6" w:space="0"/>
              <w:right w:val="single" w:color="000000" w:sz="6" w:space="0"/>
            </w:tcBorders>
            <w:shd w:val="clear" w:color="auto" w:fill="C0C0C0"/>
            <w:noWrap w:val="0"/>
            <w:vAlign w:val="center"/>
          </w:tcPr>
          <w:p>
            <w:pPr>
              <w:pStyle w:val="3"/>
              <w:widowControl/>
              <w:spacing w:line="300" w:lineRule="exact"/>
              <w:ind w:firstLine="420"/>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申请企业填写</w:t>
            </w:r>
          </w:p>
        </w:tc>
      </w:tr>
      <w:tr>
        <w:tblPrEx>
          <w:shd w:val="clear" w:color="auto" w:fill="FFFFFF"/>
          <w:tblCellMar>
            <w:top w:w="0" w:type="dxa"/>
            <w:left w:w="0" w:type="dxa"/>
            <w:bottom w:w="0" w:type="dxa"/>
            <w:right w:w="0" w:type="dxa"/>
          </w:tblCellMar>
        </w:tblPrEx>
        <w:trPr>
          <w:trHeight w:val="90" w:hRule="atLeast"/>
          <w:jc w:val="center"/>
        </w:trPr>
        <w:tc>
          <w:tcPr>
            <w:tcW w:w="2176" w:type="dxa"/>
            <w:gridSpan w:val="2"/>
            <w:tcBorders>
              <w:top w:val="nil"/>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申请</w:t>
            </w:r>
          </w:p>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企业</w:t>
            </w:r>
          </w:p>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声明</w:t>
            </w:r>
          </w:p>
        </w:tc>
        <w:tc>
          <w:tcPr>
            <w:tcW w:w="7289" w:type="dxa"/>
            <w:gridSpan w:val="15"/>
            <w:tcBorders>
              <w:top w:val="single" w:color="000000" w:sz="6" w:space="0"/>
              <w:left w:val="nil"/>
              <w:bottom w:val="single" w:color="000000" w:sz="6" w:space="0"/>
              <w:right w:val="single" w:color="000000" w:sz="6" w:space="0"/>
            </w:tcBorders>
            <w:shd w:val="clear" w:color="auto" w:fill="FFFFFF"/>
            <w:noWrap w:val="0"/>
            <w:vAlign w:val="top"/>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本企业满足实质性运营要求，无违法违纪行为，所提供的申报材料均真实无讹；自愿遵守《海南省促进总部经济发展管理办法》有</w:t>
            </w:r>
            <w:r>
              <w:rPr>
                <w:rFonts w:hint="eastAsia" w:ascii="方正仿宋_GBK" w:hAnsi="方正仿宋_GBK" w:eastAsia="方正仿宋_GBK" w:cs="方正仿宋_GBK"/>
                <w:color w:val="000000"/>
                <w:sz w:val="21"/>
                <w:szCs w:val="21"/>
              </w:rPr>
              <w:t>关规定，</w:t>
            </w:r>
            <w:r>
              <w:rPr>
                <w:rFonts w:hint="eastAsia" w:ascii="方正仿宋_GBK" w:hAnsi="方正仿宋_GBK" w:eastAsia="方正仿宋_GBK" w:cs="方正仿宋_GBK"/>
                <w:color w:val="292621"/>
                <w:sz w:val="21"/>
                <w:szCs w:val="21"/>
              </w:rPr>
              <w:t>愿意承担相应的法律责任。                             </w:t>
            </w:r>
          </w:p>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                                  </w:t>
            </w:r>
          </w:p>
          <w:p>
            <w:pPr>
              <w:pStyle w:val="3"/>
              <w:widowControl/>
              <w:spacing w:line="300" w:lineRule="exact"/>
              <w:ind w:firstLine="3150" w:firstLineChars="150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法人代表或授权代表签字：</w:t>
            </w:r>
          </w:p>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                                                  （单位公章）</w:t>
            </w:r>
          </w:p>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                                                   年    月    日</w:t>
            </w:r>
          </w:p>
        </w:tc>
      </w:tr>
      <w:tr>
        <w:tblPrEx>
          <w:shd w:val="clear" w:color="auto" w:fill="FFFFFF"/>
          <w:tblCellMar>
            <w:top w:w="0" w:type="dxa"/>
            <w:left w:w="0" w:type="dxa"/>
            <w:bottom w:w="0" w:type="dxa"/>
            <w:right w:w="0" w:type="dxa"/>
          </w:tblCellMar>
        </w:tblPrEx>
        <w:trPr>
          <w:trHeight w:val="306" w:hRule="atLeast"/>
          <w:jc w:val="center"/>
        </w:trPr>
        <w:tc>
          <w:tcPr>
            <w:tcW w:w="9465" w:type="dxa"/>
            <w:gridSpan w:val="17"/>
            <w:tcBorders>
              <w:top w:val="nil"/>
              <w:left w:val="single" w:color="000000" w:sz="6" w:space="0"/>
              <w:bottom w:val="single" w:color="000000" w:sz="6" w:space="0"/>
              <w:right w:val="single" w:color="000000" w:sz="6" w:space="0"/>
            </w:tcBorders>
            <w:shd w:val="clear" w:color="auto" w:fill="C0C0C0"/>
            <w:noWrap w:val="0"/>
            <w:vAlign w:val="center"/>
          </w:tcPr>
          <w:p>
            <w:pPr>
              <w:pStyle w:val="3"/>
              <w:widowControl/>
              <w:spacing w:line="300" w:lineRule="exact"/>
              <w:ind w:firstLine="420"/>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审批部门填写</w:t>
            </w:r>
          </w:p>
        </w:tc>
      </w:tr>
      <w:tr>
        <w:tblPrEx>
          <w:tblCellMar>
            <w:top w:w="0" w:type="dxa"/>
            <w:left w:w="0" w:type="dxa"/>
            <w:bottom w:w="0" w:type="dxa"/>
            <w:right w:w="0" w:type="dxa"/>
          </w:tblCellMar>
        </w:tblPrEx>
        <w:trPr>
          <w:trHeight w:val="2346" w:hRule="atLeast"/>
          <w:jc w:val="center"/>
        </w:trPr>
        <w:tc>
          <w:tcPr>
            <w:tcW w:w="2176"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市县政府意见</w:t>
            </w:r>
          </w:p>
        </w:tc>
        <w:tc>
          <w:tcPr>
            <w:tcW w:w="7289" w:type="dxa"/>
            <w:gridSpan w:val="15"/>
            <w:tcBorders>
              <w:top w:val="single" w:color="000000" w:sz="6" w:space="0"/>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该企业报送材料符合要求，申报数据已审核确认真实准确，符合海南省总部企业认定条件，同意认定为xx总部/同意报省联席办。</w:t>
            </w:r>
          </w:p>
          <w:p>
            <w:pPr>
              <w:pStyle w:val="3"/>
              <w:widowControl/>
              <w:spacing w:line="300" w:lineRule="exact"/>
              <w:rPr>
                <w:rFonts w:hint="eastAsia" w:ascii="方正仿宋_GBK" w:hAnsi="方正仿宋_GBK" w:eastAsia="方正仿宋_GBK" w:cs="方正仿宋_GBK"/>
                <w:color w:val="292621"/>
                <w:sz w:val="21"/>
                <w:szCs w:val="21"/>
              </w:rPr>
            </w:pPr>
          </w:p>
          <w:p>
            <w:pPr>
              <w:pStyle w:val="3"/>
              <w:widowControl/>
              <w:spacing w:line="300" w:lineRule="exact"/>
              <w:ind w:firstLine="3990" w:firstLineChars="190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（盖章）：</w:t>
            </w:r>
          </w:p>
          <w:p>
            <w:pPr>
              <w:pStyle w:val="3"/>
              <w:widowControl/>
              <w:spacing w:line="300" w:lineRule="exact"/>
              <w:ind w:firstLine="3780" w:firstLineChars="180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年    月    日</w:t>
            </w:r>
          </w:p>
        </w:tc>
      </w:tr>
      <w:tr>
        <w:tblPrEx>
          <w:tblCellMar>
            <w:top w:w="0" w:type="dxa"/>
            <w:left w:w="0" w:type="dxa"/>
            <w:bottom w:w="0" w:type="dxa"/>
            <w:right w:w="0" w:type="dxa"/>
          </w:tblCellMar>
        </w:tblPrEx>
        <w:trPr>
          <w:trHeight w:val="1385" w:hRule="atLeast"/>
          <w:jc w:val="center"/>
        </w:trPr>
        <w:tc>
          <w:tcPr>
            <w:tcW w:w="2176"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3"/>
              <w:widowControl/>
              <w:spacing w:line="300" w:lineRule="exact"/>
              <w:jc w:val="center"/>
              <w:rPr>
                <w:rFonts w:hint="eastAsia" w:ascii="方正仿宋_GBK" w:hAnsi="方正仿宋_GBK" w:eastAsia="方正仿宋_GBK" w:cs="方正仿宋_GBK"/>
                <w:b/>
                <w:color w:val="292621"/>
                <w:sz w:val="21"/>
                <w:szCs w:val="21"/>
              </w:rPr>
            </w:pPr>
            <w:r>
              <w:rPr>
                <w:rFonts w:hint="eastAsia" w:ascii="方正仿宋_GBK" w:hAnsi="方正仿宋_GBK" w:eastAsia="方正仿宋_GBK" w:cs="方正仿宋_GBK"/>
                <w:b/>
                <w:color w:val="292621"/>
                <w:sz w:val="21"/>
                <w:szCs w:val="21"/>
              </w:rPr>
              <w:t>省联席办</w:t>
            </w:r>
          </w:p>
          <w:p>
            <w:pPr>
              <w:pStyle w:val="3"/>
              <w:widowControl/>
              <w:spacing w:line="300" w:lineRule="exact"/>
              <w:jc w:val="center"/>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rPr>
              <w:t>意见</w:t>
            </w:r>
          </w:p>
        </w:tc>
        <w:tc>
          <w:tcPr>
            <w:tcW w:w="7289" w:type="dxa"/>
            <w:gridSpan w:val="15"/>
            <w:tcBorders>
              <w:top w:val="nil"/>
              <w:left w:val="nil"/>
              <w:bottom w:val="single" w:color="000000" w:sz="6" w:space="0"/>
              <w:right w:val="single" w:color="000000" w:sz="6" w:space="0"/>
            </w:tcBorders>
            <w:shd w:val="clear" w:color="auto" w:fill="FFFFFF"/>
            <w:noWrap w:val="0"/>
            <w:vAlign w:val="center"/>
          </w:tcPr>
          <w:p>
            <w:pPr>
              <w:pStyle w:val="3"/>
              <w:widowControl/>
              <w:spacing w:line="300" w:lineRule="exact"/>
              <w:ind w:firstLine="420"/>
              <w:rPr>
                <w:rFonts w:hint="eastAsia" w:ascii="方正仿宋_GBK" w:hAnsi="方正仿宋_GBK" w:eastAsia="方正仿宋_GBK" w:cs="方正仿宋_GBK"/>
                <w:color w:val="292621"/>
                <w:sz w:val="21"/>
                <w:szCs w:val="21"/>
              </w:rPr>
            </w:pPr>
          </w:p>
          <w:p>
            <w:pPr>
              <w:pStyle w:val="3"/>
              <w:widowControl/>
              <w:spacing w:line="300" w:lineRule="exact"/>
              <w:rPr>
                <w:rFonts w:hint="eastAsia" w:ascii="方正仿宋_GBK" w:hAnsi="方正仿宋_GBK" w:eastAsia="方正仿宋_GBK" w:cs="方正仿宋_GBK"/>
                <w:color w:val="292621"/>
                <w:sz w:val="21"/>
                <w:szCs w:val="21"/>
              </w:rPr>
            </w:pPr>
          </w:p>
          <w:p>
            <w:pPr>
              <w:pStyle w:val="3"/>
              <w:widowControl/>
              <w:spacing w:line="300" w:lineRule="exact"/>
              <w:ind w:firstLine="3990" w:firstLineChars="190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（盖章）：</w:t>
            </w:r>
          </w:p>
          <w:p>
            <w:pPr>
              <w:pStyle w:val="3"/>
              <w:widowControl/>
              <w:spacing w:line="300" w:lineRule="exact"/>
              <w:ind w:firstLine="3780" w:firstLineChars="180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rPr>
              <w:t>年    月    日</w:t>
            </w:r>
          </w:p>
        </w:tc>
      </w:tr>
    </w:tbl>
    <w:p>
      <w:pPr>
        <w:pStyle w:val="3"/>
        <w:widowControl/>
        <w:shd w:val="clear" w:color="auto" w:fill="FFFFFF"/>
        <w:spacing w:line="320" w:lineRule="atLeast"/>
        <w:ind w:left="840" w:leftChars="0" w:hanging="840" w:hangingChars="400"/>
        <w:jc w:val="both"/>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b/>
          <w:color w:val="292621"/>
          <w:sz w:val="21"/>
          <w:szCs w:val="21"/>
          <w:shd w:val="clear" w:color="auto" w:fill="FFFFFF"/>
        </w:rPr>
        <w:t>填表说明：</w:t>
      </w:r>
      <w:r>
        <w:rPr>
          <w:rFonts w:hint="eastAsia" w:ascii="方正仿宋_GBK" w:hAnsi="方正仿宋_GBK" w:eastAsia="方正仿宋_GBK" w:cs="方正仿宋_GBK"/>
          <w:color w:val="292621"/>
          <w:sz w:val="21"/>
          <w:szCs w:val="21"/>
          <w:shd w:val="clear" w:color="auto" w:fill="FFFFFF"/>
        </w:rPr>
        <w:t>1.申请企业请下载本表格的电子文档，用A4纸双面打印；</w:t>
      </w:r>
    </w:p>
    <w:p>
      <w:pPr>
        <w:pStyle w:val="3"/>
        <w:widowControl/>
        <w:shd w:val="clear" w:color="auto" w:fill="FFFFFF"/>
        <w:spacing w:line="320" w:lineRule="atLeast"/>
        <w:ind w:firstLine="1050" w:firstLineChars="500"/>
        <w:rPr>
          <w:rFonts w:hint="eastAsia" w:ascii="方正仿宋_GBK" w:hAnsi="方正仿宋_GBK" w:eastAsia="方正仿宋_GBK" w:cs="方正仿宋_GBK"/>
          <w:color w:val="292621"/>
          <w:sz w:val="21"/>
          <w:szCs w:val="21"/>
        </w:rPr>
      </w:pPr>
      <w:r>
        <w:rPr>
          <w:rFonts w:hint="eastAsia" w:ascii="方正仿宋_GBK" w:hAnsi="方正仿宋_GBK" w:eastAsia="方正仿宋_GBK" w:cs="方正仿宋_GBK"/>
          <w:color w:val="292621"/>
          <w:sz w:val="21"/>
          <w:szCs w:val="21"/>
          <w:shd w:val="clear" w:color="auto" w:fill="FFFFFF"/>
        </w:rPr>
        <w:t>2.表格栏目如填写不完，可延长表格或另附页填写；</w:t>
      </w:r>
    </w:p>
    <w:p>
      <w:pPr>
        <w:pStyle w:val="3"/>
        <w:widowControl/>
        <w:shd w:val="clear" w:color="auto" w:fill="FFFFFF"/>
        <w:spacing w:line="320" w:lineRule="atLeast"/>
        <w:ind w:firstLine="1050" w:firstLineChars="500"/>
        <w:rPr>
          <w:rFonts w:hint="eastAsia" w:ascii="方正仿宋_GBK" w:hAnsi="方正仿宋_GBK" w:eastAsia="方正仿宋_GBK" w:cs="方正仿宋_GBK"/>
          <w:color w:val="292621"/>
          <w:sz w:val="21"/>
          <w:szCs w:val="21"/>
          <w:shd w:val="clear" w:color="auto" w:fill="FFFFFF"/>
        </w:rPr>
      </w:pPr>
      <w:r>
        <w:rPr>
          <w:rFonts w:hint="eastAsia" w:ascii="方正仿宋_GBK" w:hAnsi="方正仿宋_GBK" w:eastAsia="方正仿宋_GBK" w:cs="方正仿宋_GBK"/>
          <w:color w:val="292621"/>
          <w:sz w:val="21"/>
          <w:szCs w:val="21"/>
          <w:shd w:val="clear" w:color="auto" w:fill="FFFFFF"/>
        </w:rPr>
        <w:t>3.据实填报资料后由法人代表或授权代表签名并加盖公章，一式两份。</w:t>
      </w:r>
    </w:p>
    <w:p>
      <w:pPr>
        <w:widowControl/>
        <w:shd w:val="clear" w:color="auto" w:fill="FFFFFF"/>
        <w:spacing w:line="560" w:lineRule="exact"/>
        <w:jc w:val="center"/>
        <w:rPr>
          <w:rFonts w:ascii="Times New Roman" w:hAnsi="Times New Roman" w:eastAsia="方正小标宋简体"/>
          <w:bCs/>
          <w:color w:val="292621"/>
          <w:kern w:val="0"/>
          <w:sz w:val="44"/>
          <w:szCs w:val="44"/>
          <w:shd w:val="clear" w:color="auto" w:fill="FFFFFF"/>
        </w:rPr>
      </w:pPr>
    </w:p>
    <w:p>
      <w:pPr>
        <w:widowControl/>
        <w:shd w:val="clear" w:color="auto" w:fill="FFFFFF"/>
        <w:spacing w:line="560" w:lineRule="exact"/>
        <w:jc w:val="center"/>
        <w:rPr>
          <w:rFonts w:ascii="Times New Roman" w:hAnsi="Times New Roman"/>
          <w:b/>
          <w:color w:val="292621"/>
          <w:kern w:val="0"/>
          <w:sz w:val="44"/>
          <w:szCs w:val="44"/>
          <w:shd w:val="clear" w:color="auto" w:fill="FFFFFF"/>
        </w:rPr>
      </w:pPr>
      <w:r>
        <w:rPr>
          <w:rFonts w:ascii="Times New Roman" w:hAnsi="Times New Roman" w:eastAsia="方正小标宋简体"/>
          <w:bCs/>
          <w:color w:val="292621"/>
          <w:kern w:val="0"/>
          <w:sz w:val="44"/>
          <w:szCs w:val="44"/>
          <w:shd w:val="clear" w:color="auto" w:fill="FFFFFF"/>
        </w:rPr>
        <w:t>海南省总部企业认定申请材料明细表</w:t>
      </w:r>
    </w:p>
    <w:tbl>
      <w:tblPr>
        <w:tblStyle w:val="4"/>
        <w:tblW w:w="9209" w:type="dxa"/>
        <w:tblInd w:w="0" w:type="dxa"/>
        <w:tblLayout w:type="fixed"/>
        <w:tblCellMar>
          <w:top w:w="0" w:type="dxa"/>
          <w:left w:w="0" w:type="dxa"/>
          <w:bottom w:w="0" w:type="dxa"/>
          <w:right w:w="0" w:type="dxa"/>
        </w:tblCellMar>
      </w:tblPr>
      <w:tblGrid>
        <w:gridCol w:w="557"/>
        <w:gridCol w:w="3337"/>
        <w:gridCol w:w="1178"/>
        <w:gridCol w:w="960"/>
        <w:gridCol w:w="1027"/>
        <w:gridCol w:w="938"/>
        <w:gridCol w:w="1212"/>
      </w:tblGrid>
      <w:tr>
        <w:tblPrEx>
          <w:tblCellMar>
            <w:top w:w="0" w:type="dxa"/>
            <w:left w:w="0" w:type="dxa"/>
            <w:bottom w:w="0" w:type="dxa"/>
            <w:right w:w="0" w:type="dxa"/>
          </w:tblCellMar>
        </w:tblPrEx>
        <w:trPr>
          <w:trHeight w:val="737" w:hRule="atLeas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黑体_GBK" w:hAnsi="方正黑体_GBK" w:eastAsia="方正黑体_GBK" w:cs="方正黑体_GBK"/>
                <w:color w:val="0C0C0C"/>
                <w:kern w:val="0"/>
                <w:sz w:val="24"/>
              </w:rPr>
            </w:pPr>
            <w:r>
              <w:rPr>
                <w:rFonts w:hint="eastAsia" w:ascii="方正黑体_GBK" w:hAnsi="方正黑体_GBK" w:eastAsia="方正黑体_GBK" w:cs="方正黑体_GBK"/>
                <w:color w:val="0C0C0C"/>
                <w:kern w:val="0"/>
                <w:sz w:val="24"/>
              </w:rPr>
              <w:t>序号</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黑体_GBK" w:hAnsi="方正黑体_GBK" w:eastAsia="方正黑体_GBK" w:cs="方正黑体_GBK"/>
                <w:color w:val="0C0C0C"/>
                <w:kern w:val="0"/>
                <w:sz w:val="24"/>
              </w:rPr>
            </w:pPr>
            <w:r>
              <w:rPr>
                <w:rFonts w:hint="eastAsia" w:ascii="方正黑体_GBK" w:hAnsi="方正黑体_GBK" w:eastAsia="方正黑体_GBK" w:cs="方正黑体_GBK"/>
                <w:color w:val="0C0C0C"/>
                <w:kern w:val="0"/>
                <w:sz w:val="24"/>
              </w:rPr>
              <w:t>提交材料名称</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黑体_GBK" w:hAnsi="方正黑体_GBK" w:eastAsia="方正黑体_GBK" w:cs="方正黑体_GBK"/>
                <w:color w:val="0C0C0C"/>
                <w:kern w:val="0"/>
                <w:sz w:val="24"/>
              </w:rPr>
            </w:pPr>
            <w:r>
              <w:rPr>
                <w:rFonts w:hint="eastAsia" w:ascii="方正黑体_GBK" w:hAnsi="方正黑体_GBK" w:eastAsia="方正黑体_GBK" w:cs="方正黑体_GBK"/>
                <w:color w:val="0C0C0C"/>
                <w:kern w:val="0"/>
                <w:sz w:val="24"/>
              </w:rPr>
              <w:t>跨国公司区域总部</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黑体_GBK" w:hAnsi="方正黑体_GBK" w:eastAsia="方正黑体_GBK" w:cs="方正黑体_GBK"/>
                <w:color w:val="0C0C0C"/>
                <w:kern w:val="0"/>
                <w:sz w:val="24"/>
              </w:rPr>
            </w:pPr>
            <w:r>
              <w:rPr>
                <w:rFonts w:hint="eastAsia" w:ascii="方正黑体_GBK" w:hAnsi="方正黑体_GBK" w:eastAsia="方正黑体_GBK" w:cs="方正黑体_GBK"/>
                <w:color w:val="0C0C0C"/>
                <w:kern w:val="0"/>
                <w:sz w:val="24"/>
              </w:rPr>
              <w:t>大企业总部</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黑体_GBK" w:hAnsi="方正黑体_GBK" w:eastAsia="方正黑体_GBK" w:cs="方正黑体_GBK"/>
                <w:color w:val="0C0C0C"/>
                <w:kern w:val="0"/>
                <w:sz w:val="24"/>
              </w:rPr>
            </w:pPr>
            <w:r>
              <w:rPr>
                <w:rFonts w:hint="eastAsia" w:ascii="方正黑体_GBK" w:hAnsi="方正黑体_GBK" w:eastAsia="方正黑体_GBK" w:cs="方正黑体_GBK"/>
                <w:color w:val="0C0C0C"/>
                <w:kern w:val="0"/>
                <w:sz w:val="24"/>
              </w:rPr>
              <w:t>综合型总部</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黑体_GBK" w:hAnsi="方正黑体_GBK" w:eastAsia="方正黑体_GBK" w:cs="方正黑体_GBK"/>
                <w:color w:val="0C0C0C"/>
                <w:kern w:val="0"/>
                <w:sz w:val="24"/>
              </w:rPr>
            </w:pPr>
            <w:r>
              <w:rPr>
                <w:rFonts w:hint="eastAsia" w:ascii="方正黑体_GBK" w:hAnsi="方正黑体_GBK" w:eastAsia="方正黑体_GBK" w:cs="方正黑体_GBK"/>
                <w:color w:val="0C0C0C"/>
                <w:kern w:val="0"/>
                <w:sz w:val="24"/>
              </w:rPr>
              <w:t>功能型总部</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黑体_GBK" w:hAnsi="方正黑体_GBK" w:eastAsia="方正黑体_GBK" w:cs="方正黑体_GBK"/>
                <w:color w:val="0C0C0C"/>
                <w:kern w:val="0"/>
                <w:sz w:val="24"/>
              </w:rPr>
            </w:pPr>
            <w:r>
              <w:rPr>
                <w:rFonts w:hint="eastAsia" w:ascii="方正黑体_GBK" w:hAnsi="方正黑体_GBK" w:eastAsia="方正黑体_GBK" w:cs="方正黑体_GBK"/>
                <w:color w:val="0C0C0C"/>
                <w:kern w:val="0"/>
                <w:sz w:val="24"/>
              </w:rPr>
              <w:t>高成长型</w:t>
            </w:r>
          </w:p>
          <w:p>
            <w:pPr>
              <w:widowControl/>
              <w:spacing w:line="360" w:lineRule="exact"/>
              <w:jc w:val="center"/>
              <w:rPr>
                <w:rFonts w:hint="eastAsia" w:ascii="方正黑体_GBK" w:hAnsi="方正黑体_GBK" w:eastAsia="方正黑体_GBK" w:cs="方正黑体_GBK"/>
                <w:color w:val="0C0C0C"/>
                <w:kern w:val="0"/>
                <w:sz w:val="24"/>
              </w:rPr>
            </w:pPr>
            <w:r>
              <w:rPr>
                <w:rFonts w:hint="eastAsia" w:ascii="方正黑体_GBK" w:hAnsi="方正黑体_GBK" w:eastAsia="方正黑体_GBK" w:cs="方正黑体_GBK"/>
                <w:color w:val="0C0C0C"/>
                <w:kern w:val="0"/>
                <w:sz w:val="24"/>
              </w:rPr>
              <w:t>总部</w:t>
            </w:r>
          </w:p>
        </w:tc>
      </w:tr>
      <w:tr>
        <w:tblPrEx>
          <w:tblCellMar>
            <w:top w:w="0" w:type="dxa"/>
            <w:left w:w="0" w:type="dxa"/>
            <w:bottom w:w="0" w:type="dxa"/>
            <w:right w:w="0" w:type="dxa"/>
          </w:tblCellMar>
        </w:tblPrEx>
        <w:trPr>
          <w:trHeight w:val="567" w:hRule="exac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1</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公司法定代表人签署的申请书</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567" w:hRule="exac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2</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海南省总部企业认定申请表</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102" w:hRule="atLeas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3</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母公司法定代表人或授权签字人签署的公司总部职能授权文件</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567" w:hRule="exac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4</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申报企业营业执照复印件</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102" w:hRule="atLeas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5</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申报企业上年度或当年度企业所得税纳税申报表</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bidi="en-US"/>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567" w:hRule="exac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6</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申报企业上年度或当年度税单</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102" w:hRule="atLeas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7</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申报企业经会计师事务所出具的财务审计报告（含报表附注）</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567" w:hRule="exac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bidi="en-US"/>
              </w:rPr>
            </w:pPr>
            <w:r>
              <w:rPr>
                <w:rFonts w:hint="eastAsia" w:ascii="方正仿宋_GBK" w:hAnsi="方正仿宋_GBK" w:eastAsia="方正仿宋_GBK" w:cs="方正仿宋_GBK"/>
                <w:color w:val="0C0C0C"/>
                <w:kern w:val="0"/>
                <w:sz w:val="24"/>
              </w:rPr>
              <w:t>8</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lang w:bidi="en-US"/>
              </w:rPr>
            </w:pPr>
            <w:r>
              <w:rPr>
                <w:rFonts w:hint="eastAsia" w:ascii="方正仿宋_GBK" w:hAnsi="方正仿宋_GBK" w:eastAsia="方正仿宋_GBK" w:cs="方正仿宋_GBK"/>
                <w:color w:val="0C0C0C"/>
                <w:kern w:val="0"/>
                <w:sz w:val="24"/>
              </w:rPr>
              <w:t>申报企业验资报告</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p>
        </w:tc>
      </w:tr>
      <w:tr>
        <w:tblPrEx>
          <w:tblCellMar>
            <w:top w:w="0" w:type="dxa"/>
            <w:left w:w="0" w:type="dxa"/>
            <w:bottom w:w="0" w:type="dxa"/>
            <w:right w:w="0" w:type="dxa"/>
          </w:tblCellMar>
        </w:tblPrEx>
        <w:trPr>
          <w:trHeight w:val="102" w:hRule="atLeas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bidi="en-US"/>
              </w:rPr>
            </w:pPr>
            <w:r>
              <w:rPr>
                <w:rFonts w:hint="eastAsia" w:ascii="方正仿宋_GBK" w:hAnsi="方正仿宋_GBK" w:eastAsia="方正仿宋_GBK" w:cs="方正仿宋_GBK"/>
                <w:color w:val="0C0C0C"/>
                <w:kern w:val="0"/>
                <w:sz w:val="24"/>
              </w:rPr>
              <w:t>9</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lang w:bidi="en-US"/>
              </w:rPr>
            </w:pPr>
            <w:r>
              <w:rPr>
                <w:rFonts w:hint="eastAsia" w:ascii="方正仿宋_GBK" w:hAnsi="方正仿宋_GBK" w:eastAsia="方正仿宋_GBK" w:cs="方正仿宋_GBK"/>
                <w:color w:val="0C0C0C"/>
                <w:kern w:val="0"/>
                <w:sz w:val="24"/>
              </w:rPr>
              <w:t>申报企业投资或授权管理企业的批准证书或营业执照</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567" w:hRule="exac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bidi="en-US"/>
              </w:rPr>
            </w:pPr>
            <w:r>
              <w:rPr>
                <w:rFonts w:hint="eastAsia" w:ascii="方正仿宋_GBK" w:hAnsi="方正仿宋_GBK" w:eastAsia="方正仿宋_GBK" w:cs="方正仿宋_GBK"/>
                <w:color w:val="0C0C0C"/>
                <w:kern w:val="0"/>
                <w:sz w:val="24"/>
              </w:rPr>
              <w:t>10</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lang w:bidi="en-US"/>
              </w:rPr>
            </w:pPr>
            <w:r>
              <w:rPr>
                <w:rFonts w:hint="eastAsia" w:ascii="方正仿宋_GBK" w:hAnsi="方正仿宋_GBK" w:eastAsia="方正仿宋_GBK" w:cs="方正仿宋_GBK"/>
                <w:color w:val="0C0C0C"/>
                <w:kern w:val="0"/>
                <w:sz w:val="24"/>
              </w:rPr>
              <w:t>母公司营业执照复印件</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lang w:eastAsia="en-US" w:bidi="en-US"/>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102" w:hRule="atLeas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11</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母公司上一年度财务审计报告（含报表附注）</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567" w:hRule="exac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12</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母公司出具的完整组织结构图</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102" w:hRule="atLeas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13</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母公司在中国境内所投资企业的批准证书或营业执照</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102" w:hRule="atLeas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14</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业务领域核心技术知识产权相关文件，研发费用占比证明；或获得PE公司投资证明文件</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567" w:hRule="exac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15</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承诺书</w:t>
            </w:r>
          </w:p>
        </w:tc>
        <w:tc>
          <w:tcPr>
            <w:tcW w:w="117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0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93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c>
          <w:tcPr>
            <w:tcW w:w="121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w:t>
            </w:r>
          </w:p>
        </w:tc>
      </w:tr>
      <w:tr>
        <w:tblPrEx>
          <w:tblCellMar>
            <w:top w:w="0" w:type="dxa"/>
            <w:left w:w="0" w:type="dxa"/>
            <w:bottom w:w="0" w:type="dxa"/>
            <w:right w:w="0" w:type="dxa"/>
          </w:tblCellMar>
        </w:tblPrEx>
        <w:trPr>
          <w:trHeight w:val="4200" w:hRule="atLeast"/>
        </w:trPr>
        <w:tc>
          <w:tcPr>
            <w:tcW w:w="5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b/>
                <w:bCs/>
                <w:color w:val="0C0C0C"/>
                <w:kern w:val="0"/>
                <w:sz w:val="24"/>
              </w:rPr>
              <w:t>备注</w:t>
            </w:r>
          </w:p>
        </w:tc>
        <w:tc>
          <w:tcPr>
            <w:tcW w:w="8652" w:type="dxa"/>
            <w:gridSpan w:val="6"/>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1.承诺自认定后10年内注册及办公地址不迁离本省，不改变在本省纳税义务，不减少注册资本等。</w:t>
            </w:r>
          </w:p>
          <w:p>
            <w:pPr>
              <w:widowControl/>
              <w:spacing w:line="360" w:lineRule="exact"/>
              <w:jc w:val="lef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sz w:val="24"/>
              </w:rPr>
              <w:t>2.</w:t>
            </w:r>
            <w:r>
              <w:rPr>
                <w:rFonts w:hint="eastAsia" w:ascii="方正仿宋_GBK" w:hAnsi="方正仿宋_GBK" w:eastAsia="方正仿宋_GBK" w:cs="方正仿宋_GBK"/>
                <w:color w:val="0C0C0C"/>
                <w:kern w:val="0"/>
                <w:sz w:val="24"/>
              </w:rPr>
              <w:t>世界企业500强以《财富》杂志上一年度排名为参考</w:t>
            </w:r>
            <w:r>
              <w:rPr>
                <w:rFonts w:hint="eastAsia" w:ascii="方正仿宋_GBK" w:hAnsi="方正仿宋_GBK" w:eastAsia="方正仿宋_GBK" w:cs="方正仿宋_GBK"/>
                <w:color w:val="0C0C0C"/>
                <w:kern w:val="0"/>
                <w:sz w:val="24"/>
                <w:lang w:eastAsia="zh-CN"/>
              </w:rPr>
              <w:t>；</w:t>
            </w:r>
            <w:r>
              <w:rPr>
                <w:rFonts w:hint="eastAsia" w:ascii="方正仿宋_GBK" w:hAnsi="方正仿宋_GBK" w:eastAsia="方正仿宋_GBK" w:cs="方正仿宋_GBK"/>
                <w:color w:val="0C0C0C"/>
                <w:kern w:val="0"/>
                <w:sz w:val="24"/>
              </w:rPr>
              <w:t>中国企业500强以中国企业联合会、中国企业家协会排名为准</w:t>
            </w:r>
            <w:r>
              <w:rPr>
                <w:rFonts w:hint="eastAsia" w:ascii="方正仿宋_GBK" w:hAnsi="方正仿宋_GBK" w:eastAsia="方正仿宋_GBK" w:cs="方正仿宋_GBK"/>
                <w:color w:val="0C0C0C"/>
                <w:kern w:val="0"/>
                <w:sz w:val="24"/>
                <w:lang w:eastAsia="zh-CN"/>
              </w:rPr>
              <w:t>；</w:t>
            </w:r>
            <w:r>
              <w:rPr>
                <w:rFonts w:hint="eastAsia" w:ascii="方正仿宋_GBK" w:hAnsi="方正仿宋_GBK" w:eastAsia="方正仿宋_GBK" w:cs="方正仿宋_GBK"/>
                <w:color w:val="0C0C0C"/>
                <w:kern w:val="0"/>
                <w:sz w:val="24"/>
              </w:rPr>
              <w:t>中国民营企业500强以全国工商联排名为准</w:t>
            </w:r>
            <w:r>
              <w:rPr>
                <w:rFonts w:hint="eastAsia" w:ascii="方正仿宋_GBK" w:hAnsi="方正仿宋_GBK" w:eastAsia="方正仿宋_GBK" w:cs="方正仿宋_GBK"/>
                <w:color w:val="0C0C0C"/>
                <w:kern w:val="0"/>
                <w:sz w:val="24"/>
                <w:lang w:eastAsia="zh-CN"/>
              </w:rPr>
              <w:t>；</w:t>
            </w:r>
            <w:r>
              <w:rPr>
                <w:rFonts w:hint="eastAsia" w:ascii="方正仿宋_GBK" w:hAnsi="方正仿宋_GBK" w:eastAsia="方正仿宋_GBK" w:cs="方正仿宋_GBK"/>
                <w:color w:val="0C0C0C"/>
                <w:kern w:val="0"/>
                <w:sz w:val="24"/>
              </w:rPr>
              <w:t>国家和中央部门确定的大企业为纳入国务院国资委管理的企业。</w:t>
            </w:r>
          </w:p>
          <w:p>
            <w:pPr>
              <w:pStyle w:val="3"/>
              <w:widowControl/>
              <w:shd w:val="clear" w:color="auto" w:fill="FFFFFF"/>
              <w:spacing w:line="360" w:lineRule="exact"/>
              <w:jc w:val="both"/>
              <w:rPr>
                <w:rFonts w:hint="eastAsia" w:ascii="方正仿宋_GBK" w:hAnsi="方正仿宋_GBK" w:eastAsia="方正仿宋_GBK" w:cs="方正仿宋_GBK"/>
                <w:color w:val="0C0C0C"/>
              </w:rPr>
            </w:pPr>
            <w:r>
              <w:rPr>
                <w:rFonts w:hint="eastAsia" w:ascii="方正仿宋_GBK" w:hAnsi="方正仿宋_GBK" w:eastAsia="方正仿宋_GBK" w:cs="方正仿宋_GBK"/>
                <w:color w:val="0C0C0C"/>
              </w:rPr>
              <w:t>3.业务领域核心技术知识产权证明材料为企业通过自主研发、受让、受赠、并购等方式，获得对其主要产品（服务）在技术上发挥核心支持作用的知识产权的所有权的佐证资料。</w:t>
            </w:r>
          </w:p>
          <w:p>
            <w:pPr>
              <w:pStyle w:val="3"/>
              <w:widowControl/>
              <w:shd w:val="clear" w:color="auto" w:fill="FFFFFF"/>
              <w:spacing w:line="360" w:lineRule="exact"/>
              <w:jc w:val="both"/>
              <w:rPr>
                <w:rFonts w:hint="eastAsia" w:ascii="方正仿宋_GBK" w:hAnsi="方正仿宋_GBK" w:eastAsia="方正仿宋_GBK" w:cs="方正仿宋_GBK"/>
                <w:color w:val="0C0C0C"/>
                <w:lang w:bidi="en-US"/>
              </w:rPr>
            </w:pPr>
            <w:r>
              <w:rPr>
                <w:rFonts w:hint="eastAsia" w:ascii="方正仿宋_GBK" w:hAnsi="方正仿宋_GBK" w:eastAsia="方正仿宋_GBK" w:cs="方正仿宋_GBK"/>
                <w:color w:val="0C0C0C"/>
                <w:lang w:bidi="en-US"/>
              </w:rPr>
              <w:t>4.企业实质性运营自行判断</w:t>
            </w:r>
            <w:r>
              <w:rPr>
                <w:rFonts w:hint="eastAsia" w:ascii="方正仿宋_GBK" w:hAnsi="方正仿宋_GBK" w:eastAsia="方正仿宋_GBK" w:cs="方正仿宋_GBK"/>
                <w:color w:val="0C0C0C"/>
                <w:lang w:val="en-US" w:eastAsia="zh-CN" w:bidi="en-US"/>
              </w:rPr>
              <w:t>的</w:t>
            </w:r>
            <w:r>
              <w:rPr>
                <w:rFonts w:hint="eastAsia" w:ascii="方正仿宋_GBK" w:hAnsi="方正仿宋_GBK" w:eastAsia="方正仿宋_GBK" w:cs="方正仿宋_GBK"/>
                <w:color w:val="0C0C0C"/>
                <w:lang w:bidi="en-US"/>
              </w:rPr>
              <w:t>标准，参照国家税务总局海南省税务局公告（2021年第1号）及相关补充公告，如遇政策调整随之调整。</w:t>
            </w:r>
          </w:p>
          <w:p>
            <w:pPr>
              <w:widowControl/>
              <w:spacing w:line="360" w:lineRule="exact"/>
              <w:rPr>
                <w:rFonts w:hint="eastAsia" w:ascii="方正仿宋_GBK" w:hAnsi="方正仿宋_GBK" w:eastAsia="方正仿宋_GBK" w:cs="方正仿宋_GBK"/>
                <w:color w:val="0C0C0C"/>
                <w:kern w:val="0"/>
                <w:sz w:val="24"/>
              </w:rPr>
            </w:pPr>
            <w:r>
              <w:rPr>
                <w:rFonts w:hint="eastAsia" w:ascii="方正仿宋_GBK" w:hAnsi="方正仿宋_GBK" w:eastAsia="方正仿宋_GBK" w:cs="方正仿宋_GBK"/>
                <w:color w:val="0C0C0C"/>
                <w:kern w:val="0"/>
                <w:sz w:val="24"/>
              </w:rPr>
              <w:t>5.材料一式两份</w:t>
            </w:r>
            <w:r>
              <w:rPr>
                <w:rFonts w:hint="eastAsia" w:ascii="方正仿宋_GBK" w:hAnsi="方正仿宋_GBK" w:eastAsia="方正仿宋_GBK" w:cs="方正仿宋_GBK"/>
                <w:color w:val="0C0C0C"/>
                <w:kern w:val="0"/>
                <w:sz w:val="24"/>
                <w:lang w:eastAsia="zh-CN"/>
              </w:rPr>
              <w:t>，</w:t>
            </w:r>
            <w:r>
              <w:rPr>
                <w:rFonts w:hint="eastAsia" w:ascii="方正仿宋_GBK" w:hAnsi="方正仿宋_GBK" w:eastAsia="方正仿宋_GBK" w:cs="方正仿宋_GBK"/>
                <w:color w:val="0C0C0C"/>
                <w:kern w:val="0"/>
                <w:sz w:val="24"/>
              </w:rPr>
              <w:t>附电子版。</w:t>
            </w:r>
          </w:p>
        </w:tc>
      </w:tr>
    </w:tbl>
    <w:p>
      <w:bookmarkStart w:id="22" w:name="_GoBack"/>
      <w:bookmarkEnd w:id="2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3505" cy="946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3505" cy="94615"/>
                      </a:xfrm>
                      <a:prstGeom prst="rect">
                        <a:avLst/>
                      </a:prstGeom>
                      <a:noFill/>
                      <a:ln>
                        <a:noFill/>
                      </a:ln>
                    </wps:spPr>
                    <wps:txbx>
                      <w:txbxContent>
                        <w:p>
                          <w:pPr>
                            <w:pStyle w:val="9"/>
                            <w:jc w:val="left"/>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color w:val="000000"/>
                              <w:sz w:val="28"/>
                              <w:szCs w:val="28"/>
                            </w:rPr>
                            <w:t>#</w:t>
                          </w:r>
                          <w:r>
                            <w:rPr>
                              <w:rFonts w:hint="eastAsia" w:ascii="宋体" w:hAnsi="宋体" w:cs="宋体"/>
                              <w:color w:val="000000"/>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7.45pt;width:8.15pt;mso-position-horizontal:center;mso-position-horizontal-relative:margin;mso-wrap-style:none;z-index:251660288;mso-width-relative:page;mso-height-relative:page;" filled="f" stroked="f" coordsize="21600,21600" o:gfxdata="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0r7PdEAAAADAQAADwAAAAAAAAABACAAAAAiAAAAZHJzL2Rvd25y&#10;ZXYueG1sUEsBAhQAFAAAAAgAh07iQOZVF0LMAQAAlgMAAA4AAAAAAAAAAQAgAAAAIAEAAGRycy9l&#10;Mm9Eb2MueG1sUEsFBgAAAAAGAAYAWQEAAF4FAAAAAA==&#10;">
              <v:path/>
              <v:fill on="f" focussize="0,0"/>
              <v:stroke on="f"/>
              <v:imagedata o:title=""/>
              <o:lock v:ext="edit" aspectratio="f"/>
              <v:textbox inset="0mm,0mm,0mm,0mm" style="mso-fit-shape-to-text:t;">
                <w:txbxContent>
                  <w:p>
                    <w:pPr>
                      <w:pStyle w:val="9"/>
                      <w:jc w:val="left"/>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color w:val="000000"/>
                        <w:sz w:val="28"/>
                        <w:szCs w:val="28"/>
                      </w:rPr>
                      <w:t>#</w:t>
                    </w:r>
                    <w:r>
                      <w:rPr>
                        <w:rFonts w:hint="eastAsia" w:ascii="宋体" w:hAnsi="宋体" w:cs="宋体"/>
                        <w:color w:val="00000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3714115</wp:posOffset>
              </wp:positionH>
              <wp:positionV relativeFrom="page">
                <wp:posOffset>10024110</wp:posOffset>
              </wp:positionV>
              <wp:extent cx="103505" cy="9461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03505" cy="94615"/>
                      </a:xfrm>
                      <a:prstGeom prst="rect">
                        <a:avLst/>
                      </a:prstGeom>
                      <a:noFill/>
                      <a:ln>
                        <a:noFill/>
                      </a:ln>
                      <a:effectLst/>
                    </wps:spPr>
                    <wps:txbx>
                      <w:txbxContent>
                        <w:p>
                          <w:pPr>
                            <w:pStyle w:val="9"/>
                            <w:jc w:val="left"/>
                          </w:pPr>
                          <w:r>
                            <w:fldChar w:fldCharType="begin"/>
                          </w:r>
                          <w:r>
                            <w:instrText xml:space="preserve"> PAGE \* MERGEFORMAT </w:instrText>
                          </w:r>
                          <w:r>
                            <w:fldChar w:fldCharType="separate"/>
                          </w:r>
                          <w:r>
                            <w:rPr>
                              <w:rFonts w:ascii="Times New Roman" w:hAnsi="Times New Roman" w:eastAsia="Times New Roman"/>
                              <w:color w:val="000000"/>
                            </w:rPr>
                            <w:t>#</w:t>
                          </w:r>
                          <w:r>
                            <w:rPr>
                              <w:rFonts w:ascii="Times New Roman" w:hAnsi="Times New Roman" w:eastAsia="Times New Roman"/>
                              <w:color w:val="000000"/>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92.45pt;margin-top:789.3pt;height:7.45pt;width:8.15pt;mso-position-horizontal-relative:page;mso-position-vertical-relative:page;mso-wrap-style:none;z-index:-251657216;mso-width-relative:page;mso-height-relative:page;" filled="f" stroked="f" coordsize="21600,21600" o:gfxdata="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&#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flr1HYAAAADQEAAA8AAAAAAAAAAQAgAAAAIgAAAGRy&#10;cy9kb3ducmV2LnhtbFBLAQIUABQAAAAIAIdO4kCiUW6YzAEAAJoDAAAOAAAAAAAAAAEAIAAAACcB&#10;AABkcnMvZTJvRG9jLnhtbFBLBQYAAAAABgAGAFkBAABlBQAAAAA=&#10;">
              <v:path/>
              <v:fill on="f" focussize="0,0"/>
              <v:stroke on="f"/>
              <v:imagedata o:title=""/>
              <o:lock v:ext="edit" aspectratio="f"/>
              <v:textbox inset="0mm,0mm,0mm,0mm" style="mso-fit-shape-to-text:t;">
                <w:txbxContent>
                  <w:p>
                    <w:pPr>
                      <w:pStyle w:val="9"/>
                      <w:jc w:val="left"/>
                    </w:pPr>
                    <w:r>
                      <w:fldChar w:fldCharType="begin"/>
                    </w:r>
                    <w:r>
                      <w:instrText xml:space="preserve"> PAGE \* MERGEFORMAT </w:instrText>
                    </w:r>
                    <w:r>
                      <w:fldChar w:fldCharType="separate"/>
                    </w:r>
                    <w:r>
                      <w:rPr>
                        <w:rFonts w:ascii="Times New Roman" w:hAnsi="Times New Roman" w:eastAsia="Times New Roman"/>
                        <w:color w:val="000000"/>
                      </w:rPr>
                      <w:t>#</w:t>
                    </w:r>
                    <w:r>
                      <w:rPr>
                        <w:rFonts w:ascii="Times New Roman" w:hAnsi="Times New Roman" w:eastAsia="Times New Roman"/>
                        <w:color w:val="00000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MWU3MjFlMzY2ZGQ5MmE2MjZkMzZlOTRlMjg0ZjEifQ=="/>
  </w:docVars>
  <w:rsids>
    <w:rsidRoot w:val="6D2669B6"/>
    <w:rsid w:val="6D266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jc w:val="left"/>
    </w:pPr>
    <w:rPr>
      <w:kern w:val="0"/>
      <w:sz w:val="24"/>
    </w:rPr>
  </w:style>
  <w:style w:type="character" w:styleId="6">
    <w:name w:val="Strong"/>
    <w:qFormat/>
    <w:uiPriority w:val="22"/>
    <w:rPr>
      <w:rFonts w:ascii="Times New Roman" w:hAnsi="Times New Roman" w:eastAsia="宋体" w:cs="Times New Roman"/>
      <w:b/>
    </w:rPr>
  </w:style>
  <w:style w:type="paragraph" w:customStyle="1" w:styleId="7">
    <w:name w:val="Body text|1"/>
    <w:basedOn w:val="1"/>
    <w:qFormat/>
    <w:uiPriority w:val="0"/>
    <w:pPr>
      <w:widowControl w:val="0"/>
      <w:shd w:val="clear" w:color="auto" w:fill="auto"/>
      <w:spacing w:line="283" w:lineRule="auto"/>
      <w:ind w:firstLine="400"/>
    </w:pPr>
    <w:rPr>
      <w:rFonts w:ascii="宋体" w:hAnsi="宋体" w:eastAsia="宋体" w:cs="宋体"/>
      <w:sz w:val="30"/>
      <w:szCs w:val="30"/>
      <w:u w:val="none"/>
      <w:shd w:val="clear" w:color="auto" w:fill="auto"/>
      <w:lang w:val="zh-TW" w:eastAsia="zh-TW" w:bidi="zh-TW"/>
    </w:rPr>
  </w:style>
  <w:style w:type="character" w:customStyle="1" w:styleId="8">
    <w:name w:val="font41"/>
    <w:qFormat/>
    <w:uiPriority w:val="0"/>
    <w:rPr>
      <w:rFonts w:hint="eastAsia" w:ascii="宋体" w:hAnsi="宋体" w:eastAsia="宋体" w:cs="宋体"/>
      <w:color w:val="000000"/>
      <w:sz w:val="20"/>
      <w:szCs w:val="20"/>
      <w:u w:val="none"/>
    </w:rPr>
  </w:style>
  <w:style w:type="paragraph" w:customStyle="1" w:styleId="9">
    <w:name w:val="Header or footer|1"/>
    <w:basedOn w:val="1"/>
    <w:qFormat/>
    <w:uiPriority w:val="0"/>
    <w:pPr>
      <w:widowControl w:val="0"/>
      <w:shd w:val="clear" w:color="auto" w:fill="auto"/>
    </w:pPr>
    <w:rPr>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2023-06-13T01:46:00Z</dcterms:created>
  <dc:creator>Sherman~</dc:creator>
  <cp:lastModifiedBy>Sherman~</cp:lastModifiedBy>
  <dcterms:modified xsi:type="dcterms:W3CDTF">2023-06-13T01:47:18Z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0C361600586A4124B024FFBD6E73DE7E_11</vt:lpwstr>
  </property>
</Properties>
</file>