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b w:val="0"/>
          <w:kern w:val="2"/>
          <w:sz w:val="32"/>
          <w:szCs w:val="32"/>
        </w:rPr>
      </w:pPr>
      <w:r>
        <w:rPr>
          <w:rFonts w:hint="eastAsia" w:ascii="黑体" w:hAnsi="宋体" w:eastAsia="黑体" w:cs="黑体"/>
          <w:b w:val="0"/>
          <w:kern w:val="2"/>
          <w:sz w:val="32"/>
          <w:szCs w:val="32"/>
          <w:lang w:val="en-US" w:eastAsia="zh-CN" w:bidi="ar"/>
        </w:rPr>
        <w:t>附件2</w:t>
      </w:r>
    </w:p>
    <w:p>
      <w:pPr>
        <w:pStyle w:val="2"/>
        <w:widowControl/>
        <w:rPr>
          <w:rFonts w:hint="eastAsia" w:ascii="黑体" w:hAnsi="宋体" w:eastAsia="黑体" w:cs="Times New Roman"/>
          <w:kern w:val="2"/>
          <w:sz w:val="24"/>
          <w:szCs w:val="24"/>
        </w:rPr>
      </w:pPr>
      <w:r>
        <w:rPr>
          <w:rFonts w:hint="eastAsia" w:ascii="黑体" w:hAnsi="宋体" w:eastAsia="黑体" w:cs="Times New Roman"/>
          <w:kern w:val="2"/>
          <w:sz w:val="24"/>
          <w:szCs w:val="24"/>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3534" w:firstLineChars="800"/>
        <w:jc w:val="both"/>
        <w:rPr>
          <w:rFonts w:hint="eastAsia" w:ascii="宋体" w:hAnsi="宋体" w:eastAsia="宋体" w:cs="宋体"/>
          <w:b/>
          <w:kern w:val="2"/>
          <w:sz w:val="44"/>
          <w:szCs w:val="44"/>
        </w:rPr>
      </w:pPr>
      <w:r>
        <w:rPr>
          <w:rFonts w:hint="eastAsia" w:ascii="宋体" w:hAnsi="宋体" w:eastAsia="宋体" w:cs="宋体"/>
          <w:b/>
          <w:kern w:val="2"/>
          <w:sz w:val="44"/>
          <w:szCs w:val="44"/>
          <w:lang w:val="en-US" w:eastAsia="zh-CN" w:bidi="ar"/>
        </w:rPr>
        <w:t>评分标准</w:t>
      </w:r>
    </w:p>
    <w:tbl>
      <w:tblPr>
        <w:tblStyle w:val="5"/>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790"/>
        <w:gridCol w:w="1020"/>
        <w:gridCol w:w="1403"/>
        <w:gridCol w:w="2257"/>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
                <w:kern w:val="2"/>
                <w:sz w:val="32"/>
                <w:szCs w:val="32"/>
                <w:lang w:val="en-US" w:eastAsia="zh-CN" w:bidi="ar"/>
              </w:rPr>
              <w:t>评分因素</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
                <w:kern w:val="2"/>
                <w:sz w:val="32"/>
                <w:szCs w:val="32"/>
                <w:lang w:val="en-US" w:eastAsia="zh-CN" w:bidi="ar"/>
              </w:rPr>
              <w:t>A 价格</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
                <w:kern w:val="2"/>
                <w:sz w:val="32"/>
                <w:szCs w:val="32"/>
                <w:lang w:val="en-US" w:eastAsia="zh-CN" w:bidi="ar"/>
              </w:rPr>
              <w:t>B 商务</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
                <w:kern w:val="2"/>
                <w:sz w:val="32"/>
                <w:szCs w:val="32"/>
                <w:lang w:val="en-US" w:eastAsia="zh-CN" w:bidi="ar"/>
              </w:rPr>
              <w:t>C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权重</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10%</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15%</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506" w:type="dxa"/>
            <w:gridSpan w:val="6"/>
            <w:tcBorders>
              <w:top w:val="single" w:color="auto" w:sz="4" w:space="0"/>
              <w:left w:val="nil"/>
              <w:bottom w:val="single" w:color="auto" w:sz="4" w:space="0"/>
              <w:right w:val="nil"/>
            </w:tcBorders>
            <w:noWrap w:val="0"/>
            <w:vAlign w:val="center"/>
          </w:tcPr>
          <w:p>
            <w:pPr>
              <w:keepNext w:val="0"/>
              <w:keepLines w:val="0"/>
              <w:widowControl w:val="0"/>
              <w:suppressLineNumbers w:val="0"/>
              <w:spacing w:before="156" w:beforeLines="50" w:beforeAutospacing="0" w:after="156" w:afterLines="5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
                <w:kern w:val="2"/>
                <w:sz w:val="32"/>
                <w:szCs w:val="32"/>
                <w:lang w:val="en-US" w:eastAsia="zh-CN" w:bidi="ar"/>
              </w:rPr>
              <w:t>A 报价得分评审标准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
                <w:kern w:val="2"/>
                <w:sz w:val="32"/>
                <w:szCs w:val="32"/>
                <w:lang w:val="en-US" w:eastAsia="zh-CN" w:bidi="ar"/>
              </w:rPr>
              <w:t>评审项目</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分值</w:t>
            </w:r>
          </w:p>
        </w:tc>
        <w:tc>
          <w:tcPr>
            <w:tcW w:w="44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Cs/>
                <w:kern w:val="2"/>
                <w:sz w:val="32"/>
                <w:szCs w:val="32"/>
                <w:lang w:val="en-US" w:eastAsia="zh-CN" w:bidi="ar"/>
              </w:rPr>
              <w:t>报价</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2"/>
                <w:sz w:val="32"/>
                <w:szCs w:val="32"/>
              </w:rPr>
            </w:pPr>
            <w:r>
              <w:rPr>
                <w:rFonts w:hint="eastAsia" w:ascii="仿宋_GB2312" w:hAnsi="Calibri" w:eastAsia="仿宋_GB2312" w:cs="仿宋_GB2312"/>
                <w:b/>
                <w:bCs w:val="0"/>
                <w:kern w:val="2"/>
                <w:sz w:val="32"/>
                <w:szCs w:val="32"/>
                <w:lang w:val="en-US" w:eastAsia="zh-CN" w:bidi="ar"/>
              </w:rPr>
              <w:t>10分</w:t>
            </w:r>
          </w:p>
        </w:tc>
        <w:tc>
          <w:tcPr>
            <w:tcW w:w="44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2"/>
                <w:sz w:val="32"/>
                <w:szCs w:val="32"/>
              </w:rPr>
            </w:pPr>
            <w:r>
              <w:rPr>
                <w:rFonts w:hint="eastAsia" w:ascii="仿宋_GB2312" w:hAnsi="Calibri" w:eastAsia="仿宋_GB2312" w:cs="仿宋_GB2312"/>
                <w:kern w:val="2"/>
                <w:sz w:val="32"/>
                <w:szCs w:val="32"/>
                <w:lang w:val="en-US" w:eastAsia="zh-CN" w:bidi="ar"/>
              </w:rPr>
              <w:t>基准价为满足邀标文件要求且最后报价最低的供应商的价格，价格分统一按照下列公式计算：报价得分＝（基准价/最后报价）×价格权值×100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9506" w:type="dxa"/>
            <w:gridSpan w:val="6"/>
            <w:tcBorders>
              <w:top w:val="single" w:color="auto" w:sz="4" w:space="0"/>
              <w:left w:val="nil"/>
              <w:bottom w:val="single" w:color="auto" w:sz="4" w:space="0"/>
              <w:right w:val="nil"/>
            </w:tcBorders>
            <w:noWrap w:val="0"/>
            <w:vAlign w:val="center"/>
          </w:tcPr>
          <w:p>
            <w:pPr>
              <w:keepNext w:val="0"/>
              <w:keepLines w:val="0"/>
              <w:widowControl w:val="0"/>
              <w:suppressLineNumbers w:val="0"/>
              <w:spacing w:before="156" w:beforeLines="50" w:beforeAutospacing="0" w:after="156" w:afterLines="50" w:afterAutospacing="0" w:line="440" w:lineRule="exact"/>
              <w:ind w:left="0" w:right="0"/>
              <w:jc w:val="center"/>
              <w:rPr>
                <w:rFonts w:hint="eastAsia" w:ascii="仿宋_GB2312" w:hAnsi="Times New Roman" w:eastAsia="仿宋_GB2312" w:cs="仿宋_GB2312"/>
                <w:b/>
                <w:kern w:val="2"/>
                <w:sz w:val="32"/>
                <w:szCs w:val="32"/>
              </w:rPr>
            </w:pPr>
            <w:r>
              <w:rPr>
                <w:rFonts w:hint="eastAsia" w:ascii="仿宋_GB2312" w:hAnsi="Calibri" w:eastAsia="仿宋_GB2312" w:cs="仿宋_GB2312"/>
                <w:b/>
                <w:kern w:val="2"/>
                <w:sz w:val="32"/>
                <w:szCs w:val="32"/>
                <w:lang w:val="en-US" w:eastAsia="zh-CN" w:bidi="ar"/>
              </w:rPr>
              <w:t>B 商务评审标准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序号</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评审项目</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分值</w:t>
            </w:r>
          </w:p>
        </w:tc>
        <w:tc>
          <w:tcPr>
            <w:tcW w:w="58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一</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供应商</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类似业绩</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10分</w:t>
            </w:r>
          </w:p>
        </w:tc>
        <w:tc>
          <w:tcPr>
            <w:tcW w:w="58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64" w:lineRule="auto"/>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2021年5月1日至2024年4月30日，供应商具有承办大型会议会展、网络宣传推广类项目活动经验，每个合同得2分，本项满分10分。</w:t>
            </w:r>
          </w:p>
          <w:p>
            <w:pPr>
              <w:keepNext w:val="0"/>
              <w:keepLines w:val="0"/>
              <w:widowControl w:val="0"/>
              <w:suppressLineNumbers w:val="0"/>
              <w:spacing w:before="0" w:beforeAutospacing="0" w:after="0" w:afterAutospacing="0" w:line="264" w:lineRule="auto"/>
              <w:ind w:left="0" w:right="0" w:firstLine="643"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b/>
                <w:bCs w:val="0"/>
                <w:kern w:val="2"/>
                <w:sz w:val="32"/>
                <w:szCs w:val="32"/>
                <w:lang w:val="en-US" w:eastAsia="zh-CN" w:bidi="ar"/>
              </w:rPr>
              <w:t>证明材料：</w:t>
            </w:r>
            <w:r>
              <w:rPr>
                <w:rFonts w:hint="eastAsia" w:ascii="仿宋_GB2312" w:hAnsi="Calibri" w:eastAsia="仿宋_GB2312" w:cs="仿宋_GB2312"/>
                <w:kern w:val="2"/>
                <w:sz w:val="32"/>
                <w:szCs w:val="32"/>
                <w:lang w:val="en-US" w:eastAsia="zh-CN" w:bidi="ar"/>
              </w:rPr>
              <w:t>提供会议会展类、网络宣传推广类业绩合同关键页复印件或其他相关证明材料复印件并加盖公章，日期以合同签订日期为准，否则不得分。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二</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专业服务团队人员配备</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5分</w:t>
            </w:r>
          </w:p>
        </w:tc>
        <w:tc>
          <w:tcPr>
            <w:tcW w:w="58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73" w:lineRule="auto"/>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专业服务团队：</w:t>
            </w:r>
          </w:p>
          <w:p>
            <w:pPr>
              <w:keepNext w:val="0"/>
              <w:keepLines w:val="0"/>
              <w:widowControl w:val="0"/>
              <w:suppressLineNumbers w:val="0"/>
              <w:spacing w:before="0" w:beforeAutospacing="0" w:after="0" w:afterAutospacing="0" w:line="273" w:lineRule="auto"/>
              <w:ind w:left="0" w:right="0" w:firstLine="640" w:firstLineChars="200"/>
              <w:jc w:val="both"/>
              <w:rPr>
                <w:rFonts w:hint="eastAsia" w:ascii="仿宋_GB2312" w:hAnsi="Times New Roman" w:eastAsia="仿宋_GB2312" w:cs="仿宋_GB2312"/>
                <w:strike/>
                <w:dstrike w:val="0"/>
                <w:kern w:val="2"/>
                <w:sz w:val="32"/>
                <w:szCs w:val="32"/>
              </w:rPr>
            </w:pPr>
            <w:r>
              <w:rPr>
                <w:rFonts w:hint="eastAsia" w:ascii="仿宋_GB2312" w:hAnsi="Calibri" w:eastAsia="仿宋_GB2312" w:cs="仿宋_GB2312"/>
                <w:kern w:val="2"/>
                <w:sz w:val="32"/>
                <w:szCs w:val="32"/>
                <w:lang w:val="en-US" w:eastAsia="zh-CN" w:bidi="ar"/>
              </w:rPr>
              <w:t>供应商拟派本项目专业服务团队，专业、数量、结构配备合理，包括且不少于以下人员及岗位：项目总负责人1名、会议负责人1人、商家及主播负责人2名、媒体服务负责人1名、应急保障联系人1名。</w:t>
            </w:r>
          </w:p>
          <w:p>
            <w:pPr>
              <w:keepNext w:val="0"/>
              <w:keepLines w:val="0"/>
              <w:widowControl w:val="0"/>
              <w:suppressLineNumbers w:val="0"/>
              <w:spacing w:before="0" w:beforeAutospacing="0" w:after="0" w:afterAutospacing="0" w:line="273" w:lineRule="auto"/>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根据以上人员人数、学历等情况综合评分，符合岗位需求的为优秀得4-5分，基本符合岗位需求的为良好得2-3分，不符合岗位需求的为差得0-1分；同时配备每缺一个岗位扣2分，扣完为止。</w:t>
            </w:r>
          </w:p>
          <w:p>
            <w:pPr>
              <w:keepNext w:val="0"/>
              <w:keepLines w:val="0"/>
              <w:widowControl w:val="0"/>
              <w:suppressLineNumbers w:val="0"/>
              <w:spacing w:before="0" w:beforeAutospacing="0" w:after="0" w:afterAutospacing="0" w:line="273" w:lineRule="auto"/>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b/>
                <w:bCs w:val="0"/>
                <w:kern w:val="2"/>
                <w:sz w:val="32"/>
                <w:szCs w:val="32"/>
                <w:lang w:val="en-US" w:eastAsia="zh-CN" w:bidi="ar"/>
              </w:rPr>
              <w:t>证明材料：</w:t>
            </w:r>
            <w:r>
              <w:rPr>
                <w:rFonts w:hint="eastAsia" w:ascii="仿宋_GB2312" w:hAnsi="Calibri" w:eastAsia="仿宋_GB2312" w:cs="仿宋_GB2312"/>
                <w:kern w:val="2"/>
                <w:sz w:val="32"/>
                <w:szCs w:val="32"/>
                <w:lang w:val="en-US" w:eastAsia="zh-CN" w:bidi="ar"/>
              </w:rPr>
              <w:t>需提供上述人员名单，身份证复印件，学历等相关材料，加盖公章；提供缴纳社保承诺函（格式自拟，供应商承诺函不实的，将依照有关法律法规追究法律责任）。不提供不得分。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506" w:type="dxa"/>
            <w:gridSpan w:val="6"/>
            <w:tcBorders>
              <w:top w:val="nil"/>
              <w:left w:val="nil"/>
              <w:bottom w:val="single" w:color="auto" w:sz="4" w:space="0"/>
              <w:right w:val="nil"/>
            </w:tcBorders>
            <w:noWrap w:val="0"/>
            <w:vAlign w:val="center"/>
          </w:tcPr>
          <w:p>
            <w:pPr>
              <w:keepNext w:val="0"/>
              <w:keepLines w:val="0"/>
              <w:widowControl w:val="0"/>
              <w:suppressLineNumbers w:val="0"/>
              <w:spacing w:before="0" w:beforeAutospacing="0" w:after="0" w:afterAutospacing="0" w:line="273" w:lineRule="auto"/>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b/>
                <w:kern w:val="2"/>
                <w:sz w:val="32"/>
                <w:szCs w:val="32"/>
                <w:lang w:val="en-US" w:eastAsia="zh-CN" w:bidi="ar"/>
              </w:rPr>
              <w:t>C 技术评审标准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885"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三</w:t>
            </w:r>
          </w:p>
        </w:tc>
        <w:tc>
          <w:tcPr>
            <w:tcW w:w="17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kern w:val="0"/>
                <w:sz w:val="32"/>
                <w:szCs w:val="32"/>
                <w:lang w:val="en-US" w:eastAsia="zh-CN" w:bidi="ar"/>
              </w:rPr>
              <w:t>项目策划实施方案</w:t>
            </w:r>
          </w:p>
        </w:tc>
        <w:tc>
          <w:tcPr>
            <w:tcW w:w="10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仿宋_GB2312"/>
                <w:b/>
                <w:bCs w:val="0"/>
                <w:kern w:val="0"/>
                <w:sz w:val="32"/>
                <w:szCs w:val="32"/>
              </w:rPr>
            </w:pPr>
            <w:r>
              <w:rPr>
                <w:rFonts w:hint="eastAsia" w:ascii="仿宋_GB2312" w:hAnsi="Calibri" w:eastAsia="仿宋_GB2312" w:cs="仿宋_GB2312"/>
                <w:b/>
                <w:bCs w:val="0"/>
                <w:kern w:val="0"/>
                <w:sz w:val="32"/>
                <w:szCs w:val="32"/>
                <w:lang w:val="en-US" w:eastAsia="zh-CN" w:bidi="ar"/>
              </w:rPr>
              <w:t>55分</w:t>
            </w:r>
          </w:p>
        </w:tc>
        <w:tc>
          <w:tcPr>
            <w:tcW w:w="581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numPr>
                <w:ilvl w:val="0"/>
                <w:numId w:val="1"/>
              </w:numPr>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根据供应商提供的总体方案及组织措施进行综合评价：（满分15分）</w:t>
            </w:r>
          </w:p>
          <w:p>
            <w:pPr>
              <w:numPr>
                <w:ilvl w:val="0"/>
                <w:numId w:val="0"/>
              </w:numPr>
              <w:adjustRightInd w:val="0"/>
              <w:snapToGrid w:val="0"/>
              <w:spacing w:before="0" w:beforeAutospacing="0" w:line="500" w:lineRule="exact"/>
              <w:ind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总体方案含启动仪式、组织网络直播促销活动、寻找海南最美电商主播大赛</w:t>
            </w:r>
            <w:r>
              <w:rPr>
                <w:rFonts w:hint="eastAsia" w:ascii="仿宋_GB2312" w:hAnsi="Times New Roman" w:eastAsia="仿宋_GB2312" w:cs="仿宋_GB2312"/>
                <w:bCs/>
                <w:kern w:val="2"/>
                <w:sz w:val="32"/>
                <w:szCs w:val="32"/>
              </w:rPr>
              <w:t>等相关内容。</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①总体策划方案清晰、合理、全面、实用、创新，且具有重点针对性的为优秀得11-15分；</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②总体策划方案完整，但不具备针对性的为良好得5-10分；</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③总体策划方案不完整或存在重大缺陷的为差得0-4分。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81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（二）根据供应商提供的现场活动、视觉效果图设计等方案，包括启动仪式、直播间布置效果图、寻找海南最美电商主播大赛话题设计图、预决赛主视觉效果图、展位效果图，进行综合评价：（满分10分）</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①方案针对本项目的设计理念及策划方案内容完整合理且可实施性强，优秀得7-10分；</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②方案针对本项目的设计理念及策划方案内容完整合理且具有可实施性，但无针对性为良好得3-6分；</w:t>
            </w:r>
          </w:p>
          <w:p>
            <w:pPr>
              <w:keepNext w:val="0"/>
              <w:keepLines w:val="0"/>
              <w:widowControl w:val="0"/>
              <w:suppressLineNumbers w:val="0"/>
              <w:spacing w:before="0" w:beforeAutospacing="0" w:after="0" w:afterAutospacing="0" w:line="500" w:lineRule="exact"/>
              <w:ind w:left="0" w:right="0"/>
              <w:jc w:val="both"/>
              <w:rPr>
                <w:rFonts w:hint="default" w:ascii="Calibri" w:hAnsi="Calibri" w:eastAsia="宋体" w:cs="Times New Roman"/>
                <w:kern w:val="2"/>
                <w:sz w:val="21"/>
                <w:szCs w:val="21"/>
              </w:rPr>
            </w:pPr>
            <w:r>
              <w:rPr>
                <w:rFonts w:hint="eastAsia" w:ascii="仿宋_GB2312" w:hAnsi="Calibri" w:eastAsia="仿宋_GB2312" w:cs="仿宋_GB2312"/>
                <w:kern w:val="0"/>
                <w:sz w:val="32"/>
                <w:szCs w:val="32"/>
                <w:lang w:val="en-US" w:eastAsia="zh-CN" w:bidi="ar"/>
              </w:rPr>
              <w:t>③方案有重大缺项，活动无鲜明特点为差得0-2分。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81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（三）根据供应商提供的应急保障方案进行综合评价：（满分10分）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根据《用户需求书》中活动拟定应急保障方案，方案内容包括实施全过程中突发状况分析及应急处置方案、消防安全、安全保卫等工作。</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①方案全面，充分考虑各项活动全过程可能发生的突发状况，提出重点发生情境及有效应急保障措施的为优秀得7-10分；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②方案比较全面，针对各项活动提出基本的应急保障措施的为良好得3-6分；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0"/>
                <w:sz w:val="32"/>
                <w:szCs w:val="32"/>
                <w:lang w:val="en-US" w:eastAsia="zh-CN" w:bidi="ar"/>
              </w:rPr>
              <w:t>③方案存在缺陷，未针对各项活动可能发生的突发状况进行分析并提出有效措施，可实施性不强的为差得0-2分。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（四）根据供应商提供的宣传推广方案及措施进行综合评价：（满分15分）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0"/>
                <w:sz w:val="32"/>
                <w:szCs w:val="32"/>
              </w:rPr>
            </w:pPr>
            <w:r>
              <w:rPr>
                <w:rFonts w:hint="eastAsia" w:ascii="仿宋_GB2312" w:hAnsi="Calibri" w:eastAsia="仿宋_GB2312" w:cs="仿宋_GB2312"/>
                <w:kern w:val="2"/>
                <w:sz w:val="32"/>
                <w:szCs w:val="32"/>
                <w:lang w:val="en-US" w:eastAsia="zh-CN" w:bidi="ar"/>
              </w:rPr>
              <w:t>（1）</w:t>
            </w:r>
            <w:r>
              <w:rPr>
                <w:rFonts w:hint="eastAsia" w:ascii="仿宋_GB2312" w:hAnsi="Calibri" w:eastAsia="仿宋_GB2312" w:cs="仿宋_GB2312"/>
                <w:kern w:val="0"/>
                <w:sz w:val="32"/>
                <w:szCs w:val="32"/>
                <w:lang w:val="en-US" w:eastAsia="zh-CN" w:bidi="ar"/>
              </w:rPr>
              <w:t>宣传推广实施</w:t>
            </w:r>
            <w:r>
              <w:rPr>
                <w:rFonts w:hint="eastAsia" w:ascii="仿宋_GB2312" w:hAnsi="Calibri" w:eastAsia="仿宋_GB2312" w:cs="仿宋_GB2312"/>
                <w:kern w:val="2"/>
                <w:sz w:val="32"/>
                <w:szCs w:val="32"/>
                <w:lang w:val="en-US" w:eastAsia="zh-CN" w:bidi="ar"/>
              </w:rPr>
              <w:t>平台：（满分10分）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①供应商使用自有宣传推广服务平台宣传本项目的每个得2分；</w:t>
            </w:r>
          </w:p>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②供应商使用合作协议方式由第三方平台宣传本次活动的每个得1分，最高得10分；本项满分10分。</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仿宋_GB2312" w:hAnsi="Calibri" w:eastAsia="仿宋_GB2312" w:cs="仿宋_GB2312"/>
                <w:b/>
                <w:kern w:val="2"/>
                <w:sz w:val="32"/>
                <w:szCs w:val="32"/>
                <w:lang w:val="en-US" w:eastAsia="zh-CN" w:bidi="ar"/>
              </w:rPr>
              <w:t>证明材料：</w:t>
            </w:r>
            <w:r>
              <w:rPr>
                <w:rFonts w:hint="eastAsia" w:ascii="仿宋_GB2312" w:hAnsi="Calibri" w:eastAsia="仿宋_GB2312" w:cs="仿宋_GB2312"/>
                <w:kern w:val="2"/>
                <w:sz w:val="32"/>
                <w:szCs w:val="32"/>
                <w:lang w:val="en-US" w:eastAsia="zh-CN" w:bidi="ar"/>
              </w:rPr>
              <w:t>自有媒体平台的证明材料、宣传平台合作协议复印件加盖公章；推广服务平台指具有独立法人资格的宣传媒体。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885"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81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0"/>
                <w:sz w:val="32"/>
                <w:szCs w:val="32"/>
                <w:lang w:val="en-US" w:eastAsia="zh-CN" w:bidi="ar"/>
              </w:rPr>
              <w:t>（2）宣传推广实施计划：</w:t>
            </w:r>
            <w:r>
              <w:rPr>
                <w:rFonts w:hint="eastAsia" w:ascii="仿宋_GB2312" w:hAnsi="Calibri" w:eastAsia="仿宋_GB2312" w:cs="仿宋_GB2312"/>
                <w:kern w:val="2"/>
                <w:sz w:val="32"/>
                <w:szCs w:val="32"/>
                <w:lang w:val="en-US" w:eastAsia="zh-CN" w:bidi="ar"/>
              </w:rPr>
              <w:t>（满分5分）</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①计划详尽，媒体平台资源丰富，宣传力度强，影响面广，为优秀得4-5分；</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②计划比较全面，媒体平台统筹能力一般，为良好得2-3分；</w:t>
            </w:r>
          </w:p>
          <w:p>
            <w:pPr>
              <w:keepNext w:val="0"/>
              <w:keepLines w:val="0"/>
              <w:widowControl w:val="0"/>
              <w:suppressLineNumbers w:val="0"/>
              <w:spacing w:before="0" w:beforeAutospacing="0" w:after="0" w:afterAutospacing="0" w:line="500" w:lineRule="exact"/>
              <w:ind w:left="0" w:right="0"/>
              <w:jc w:val="both"/>
              <w:rPr>
                <w:rFonts w:hint="eastAsia" w:ascii="仿宋_GB2312" w:hAnsi="Times New Roman" w:eastAsia="仿宋_GB2312" w:cs="仿宋_GB2312"/>
                <w:kern w:val="2"/>
                <w:sz w:val="21"/>
                <w:szCs w:val="21"/>
              </w:rPr>
            </w:pPr>
            <w:r>
              <w:rPr>
                <w:rFonts w:hint="eastAsia" w:ascii="仿宋_GB2312" w:hAnsi="Calibri" w:eastAsia="仿宋_GB2312" w:cs="仿宋_GB2312"/>
                <w:kern w:val="2"/>
                <w:sz w:val="32"/>
                <w:szCs w:val="32"/>
                <w:lang w:val="en-US" w:eastAsia="zh-CN" w:bidi="ar"/>
              </w:rPr>
              <w:t>③计划具有明显缺陷，媒体统筹能力不能满足项目需要的为差得0-1分；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00" w:lineRule="exact"/>
              <w:ind w:left="0" w:right="0"/>
              <w:jc w:val="center"/>
              <w:rPr>
                <w:rFonts w:hint="eastAsia" w:ascii="仿宋_GB2312" w:hAnsi="Times New Roman" w:eastAsia="仿宋_GB2312" w:cs="仿宋_GB2312"/>
                <w:kern w:val="2"/>
                <w:sz w:val="32"/>
                <w:szCs w:val="32"/>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00" w:lineRule="exact"/>
              <w:ind w:left="0" w:right="0"/>
              <w:jc w:val="center"/>
              <w:rPr>
                <w:rFonts w:hint="eastAsia" w:ascii="仿宋_GB2312" w:hAnsi="Times New Roman" w:eastAsia="仿宋_GB2312" w:cs="仿宋_GB2312"/>
                <w:kern w:val="2"/>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00" w:lineRule="exact"/>
              <w:ind w:left="0" w:right="0"/>
              <w:jc w:val="center"/>
              <w:rPr>
                <w:rFonts w:hint="eastAsia" w:ascii="仿宋_GB2312" w:hAnsi="Times New Roman" w:eastAsia="仿宋_GB2312" w:cs="仿宋_GB2312"/>
                <w:kern w:val="2"/>
                <w:sz w:val="32"/>
                <w:szCs w:val="32"/>
              </w:rPr>
            </w:pPr>
          </w:p>
        </w:tc>
        <w:tc>
          <w:tcPr>
            <w:tcW w:w="581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（五）根据供应商提供的针对本项目的各项服务承诺进行综合评价：（满分5分）</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①服务承诺完整、详细，并提供佐证或说明材料证明其承诺具有可实施性的为优秀得4-5分；</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②服务承诺完整、有效，未提供佐证或说明证明其承诺具有可实施性的为良好得2-3分；</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③未提供服务承诺或服务承诺存在缺陷的为差得1分。</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b/>
                <w:kern w:val="2"/>
                <w:sz w:val="32"/>
                <w:szCs w:val="32"/>
                <w:lang w:val="en-US" w:eastAsia="zh-CN" w:bidi="ar"/>
              </w:rPr>
              <w:t>证明材料：</w:t>
            </w:r>
            <w:r>
              <w:rPr>
                <w:rFonts w:hint="eastAsia" w:ascii="仿宋_GB2312" w:hAnsi="Calibri" w:eastAsia="仿宋_GB2312" w:cs="仿宋_GB2312"/>
                <w:kern w:val="2"/>
                <w:sz w:val="32"/>
                <w:szCs w:val="32"/>
                <w:lang w:val="en-US" w:eastAsia="zh-CN" w:bidi="ar"/>
              </w:rPr>
              <w:t>1.履约服务承诺；2.廉洁承诺；3.响应用户需求的承诺；4.无违法、失信行为的承诺；5.供应商认为有必要提供的其他承诺或证明材料。承诺书格式自拟。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00" w:lineRule="exact"/>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四</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00" w:lineRule="exact"/>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团队综合服务能力</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00" w:lineRule="exact"/>
              <w:ind w:left="0" w:right="0"/>
              <w:jc w:val="center"/>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20</w:t>
            </w:r>
          </w:p>
        </w:tc>
        <w:tc>
          <w:tcPr>
            <w:tcW w:w="581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numPr>
                <w:ilvl w:val="0"/>
                <w:numId w:val="2"/>
              </w:numPr>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投标人具有较强的商家、主播组织协调能力。能够统筹</w:t>
            </w:r>
            <w:r>
              <w:rPr>
                <w:rFonts w:hint="eastAsia" w:ascii="仿宋" w:hAnsi="仿宋" w:eastAsia="仿宋" w:cs="仿宋"/>
                <w:b w:val="0"/>
                <w:color w:val="000000"/>
                <w:kern w:val="2"/>
                <w:sz w:val="32"/>
                <w:szCs w:val="32"/>
                <w:shd w:val="clear" w:color="auto" w:fill="FFFFFF"/>
                <w:lang w:val="en-US" w:eastAsia="zh-CN" w:bidi="ar"/>
              </w:rPr>
              <w:t>海南特色电商产品、老字号、非遗文化、特色美食</w:t>
            </w:r>
            <w:r>
              <w:rPr>
                <w:rFonts w:hint="eastAsia" w:ascii="仿宋_GB2312" w:hAnsi="Calibri" w:eastAsia="仿宋_GB2312" w:cs="仿宋_GB2312"/>
                <w:kern w:val="2"/>
                <w:sz w:val="32"/>
                <w:szCs w:val="32"/>
                <w:lang w:val="en-US" w:eastAsia="zh-CN" w:bidi="ar"/>
              </w:rPr>
              <w:t>等资源积极参与本次活动，提供的企业、主播名单具有区域代表性。（满分20分）</w:t>
            </w:r>
          </w:p>
          <w:p>
            <w:pPr>
              <w:keepNext w:val="0"/>
              <w:keepLines w:val="0"/>
              <w:widowControl w:val="0"/>
              <w:suppressLineNumbers w:val="0"/>
              <w:adjustRightInd w:val="0"/>
              <w:snapToGrid w:val="0"/>
              <w:spacing w:before="0" w:beforeAutospacing="0" w:after="0" w:afterAutospacing="0" w:line="500" w:lineRule="exact"/>
              <w:ind w:left="0" w:right="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证明材料：邀请企业清单, 满足15家企业后得8分，每新增1家企业得0.5分，最高得10分，企业名单由投标人自行获得。邀请主播清单, 满足10名主播后得8分，每新增1名主播得0.5分，最高得10分，主播名单由投标人自行获得。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5463DA"/>
    <w:multiLevelType w:val="multilevel"/>
    <w:tmpl w:val="F35463DA"/>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BDEC1EC"/>
    <w:multiLevelType w:val="multilevel"/>
    <w:tmpl w:val="FBDEC1EC"/>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MWU3MjFlMzY2ZGQ5MmE2MjZkMzZlOTRlMjg0ZjEifQ=="/>
  </w:docVars>
  <w:rsids>
    <w:rsidRoot w:val="3B7837A9"/>
    <w:rsid w:val="3B783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paragraph" w:styleId="2">
    <w:name w:val="heading 2"/>
    <w:next w:val="1"/>
    <w:unhideWhenUsed/>
    <w:qFormat/>
    <w:uiPriority w:val="0"/>
    <w:pPr>
      <w:keepNext/>
      <w:keepLines/>
      <w:widowControl w:val="0"/>
      <w:suppressLineNumbers w:val="0"/>
      <w:spacing w:before="120" w:beforeAutospacing="0" w:after="100" w:afterAutospacing="1"/>
      <w:jc w:val="both"/>
      <w:outlineLvl w:val="1"/>
    </w:pPr>
    <w:rPr>
      <w:rFonts w:hint="eastAsia" w:ascii="黑体" w:hAnsi="宋体" w:eastAsia="黑体" w:cs="Times New Roman"/>
      <w:b/>
      <w:kern w:val="2"/>
      <w:sz w:val="24"/>
      <w:szCs w:val="24"/>
      <w:lang w:val="en-US" w:eastAsia="zh-CN" w:bidi="ar"/>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keepNext w:val="0"/>
      <w:keepLines w:val="0"/>
      <w:widowControl w:val="0"/>
      <w:suppressLineNumbers w:val="0"/>
      <w:snapToGrid w:val="0"/>
      <w:spacing w:before="0" w:beforeAutospacing="0" w:after="0" w:afterAutospacing="0"/>
      <w:ind w:left="0" w:right="0"/>
      <w:jc w:val="left"/>
    </w:pPr>
    <w:rPr>
      <w:rFonts w:hint="default" w:ascii="Calibri" w:hAnsi="Calibri" w:eastAsia="宋体" w:cs="Times New Roman"/>
      <w:kern w:val="2"/>
      <w:sz w:val="18"/>
      <w:szCs w:val="18"/>
      <w:lang w:val="en-US" w:eastAsia="zh-CN" w:bidi="ar"/>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2024-04-17T01:11:00Z</dcterms:created>
  <dc:creator>Sherman~</dc:creator>
  <cp:lastModifiedBy>Sherman~</cp:lastModifiedBy>
  <dcterms:modified xsi:type="dcterms:W3CDTF">2024-04-17T01:11:46Z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E17C7305D1EC4C2D8249CEF1DDA57F89_11</vt:lpwstr>
  </property>
</Properties>
</file>