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rPr>
      </w:pPr>
    </w:p>
    <w:p>
      <w:pPr>
        <w:rPr>
          <w:sz w:val="84"/>
          <w:szCs w:val="84"/>
        </w:rPr>
      </w:pPr>
    </w:p>
    <w:p>
      <w:pPr>
        <w:rPr>
          <w:sz w:val="84"/>
          <w:szCs w:val="84"/>
        </w:rPr>
      </w:pPr>
    </w:p>
    <w:p>
      <w:pPr>
        <w:rPr>
          <w:sz w:val="84"/>
          <w:szCs w:val="84"/>
        </w:rPr>
      </w:pPr>
    </w:p>
    <w:p>
      <w:pPr>
        <w:jc w:val="center"/>
        <w:rPr>
          <w:sz w:val="52"/>
          <w:szCs w:val="52"/>
        </w:rPr>
      </w:pPr>
      <w:r>
        <w:rPr>
          <w:rFonts w:hint="eastAsia"/>
          <w:sz w:val="52"/>
          <w:szCs w:val="52"/>
        </w:rPr>
        <w:t>2024年海南省国际商务促进中心</w:t>
      </w:r>
    </w:p>
    <w:p>
      <w:pPr>
        <w:jc w:val="center"/>
        <w:rPr>
          <w:sz w:val="52"/>
          <w:szCs w:val="52"/>
        </w:rPr>
      </w:pPr>
      <w:r>
        <w:rPr>
          <w:rFonts w:hint="eastAsia"/>
          <w:sz w:val="52"/>
          <w:szCs w:val="52"/>
        </w:rPr>
        <w:t>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目录</w:t>
      </w:r>
    </w:p>
    <w:p>
      <w:pPr>
        <w:jc w:val="center"/>
        <w:rPr>
          <w:rFonts w:hint="eastAsia" w:ascii="黑体" w:hAnsi="黑体" w:eastAsia="黑体"/>
          <w:sz w:val="52"/>
          <w:szCs w:val="52"/>
        </w:rPr>
      </w:pP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rPr>
        <w:t>海南省国际商务促进中心概况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海南省国际商务促进中心2024年预算表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olor w:val="FF0000"/>
          <w:sz w:val="32"/>
          <w:szCs w:val="32"/>
        </w:rPr>
        <w:t xml:space="preserve"> </w:t>
      </w:r>
      <w:r>
        <w:rPr>
          <w:rFonts w:hint="eastAsia" w:ascii="黑体" w:hAnsi="黑体" w:eastAsia="黑体"/>
          <w:sz w:val="32"/>
          <w:szCs w:val="32"/>
        </w:rPr>
        <w:t>海南省国际商务促进中心2024预算情况说明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jc w:val="left"/>
        <w:rPr>
          <w:rFonts w:hint="eastAsia"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海南省国际商务促进中心概况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ind w:firstLine="640" w:firstLineChars="200"/>
        <w:jc w:val="left"/>
        <w:rPr>
          <w:rFonts w:ascii="仿宋_GB2312" w:hAnsi="黑体" w:eastAsia="仿宋_GB2312"/>
          <w:sz w:val="32"/>
          <w:szCs w:val="32"/>
        </w:rPr>
      </w:pPr>
      <w:bookmarkStart w:id="0" w:name="bookmark9"/>
      <w:r>
        <w:rPr>
          <w:rFonts w:hint="eastAsia" w:ascii="仿宋_GB2312" w:hAnsi="黑体" w:eastAsia="仿宋_GB2312"/>
          <w:sz w:val="32"/>
          <w:szCs w:val="32"/>
        </w:rPr>
        <w:t>（</w:t>
      </w:r>
      <w:bookmarkEnd w:id="0"/>
      <w:r>
        <w:rPr>
          <w:rFonts w:hint="eastAsia" w:ascii="仿宋_GB2312" w:hAnsi="黑体" w:eastAsia="仿宋_GB2312"/>
          <w:sz w:val="32"/>
          <w:szCs w:val="32"/>
        </w:rPr>
        <w:t>一）负责为促进中国（海南）自由贸易试验区（自由 贸易港）的国际经济合作和省内外贸易提供信息技术支持， 对海南自贸区（港）国际贸易</w:t>
      </w:r>
      <w:r>
        <w:rPr>
          <w:rFonts w:hint="eastAsia" w:ascii="仿宋_GB2312" w:hAnsi="黑体" w:eastAsia="仿宋_GB2312"/>
          <w:sz w:val="32"/>
          <w:szCs w:val="32"/>
          <w:lang w:val="zh-CN"/>
        </w:rPr>
        <w:t>“单一</w:t>
      </w:r>
      <w:r>
        <w:rPr>
          <w:rFonts w:hint="eastAsia" w:ascii="仿宋_GB2312" w:hAnsi="黑体" w:eastAsia="仿宋_GB2312"/>
          <w:sz w:val="32"/>
          <w:szCs w:val="32"/>
        </w:rPr>
        <w:t>窗口”服务平台、海南 自贸区（港）国际投资</w:t>
      </w:r>
      <w:r>
        <w:rPr>
          <w:rFonts w:hint="eastAsia" w:ascii="仿宋_GB2312" w:hAnsi="黑体" w:eastAsia="仿宋_GB2312"/>
          <w:sz w:val="32"/>
          <w:szCs w:val="32"/>
          <w:lang w:val="zh-CN"/>
        </w:rPr>
        <w:t>“单一</w:t>
      </w:r>
      <w:r>
        <w:rPr>
          <w:rFonts w:hint="eastAsia" w:ascii="仿宋_GB2312" w:hAnsi="黑体" w:eastAsia="仿宋_GB2312"/>
          <w:sz w:val="32"/>
          <w:szCs w:val="32"/>
        </w:rPr>
        <w:t>窗口”服务平台、跨境电子商 务服务平台、海南离岛旅客免税购物管理信息系统公共服务 平台和海南商务综合信息服务平台进行运维工作，受理 95198热线电话。</w:t>
      </w:r>
    </w:p>
    <w:p>
      <w:pPr>
        <w:ind w:firstLine="640" w:firstLineChars="200"/>
        <w:jc w:val="left"/>
        <w:rPr>
          <w:rFonts w:ascii="仿宋_GB2312" w:hAnsi="黑体" w:eastAsia="仿宋_GB2312"/>
          <w:sz w:val="32"/>
          <w:szCs w:val="32"/>
        </w:rPr>
      </w:pPr>
      <w:bookmarkStart w:id="1" w:name="bookmark10"/>
      <w:r>
        <w:rPr>
          <w:rFonts w:hint="eastAsia" w:ascii="仿宋_GB2312" w:hAnsi="黑体" w:eastAsia="仿宋_GB2312"/>
          <w:sz w:val="32"/>
          <w:szCs w:val="32"/>
        </w:rPr>
        <w:t>（</w:t>
      </w:r>
      <w:bookmarkEnd w:id="1"/>
      <w:r>
        <w:rPr>
          <w:rFonts w:hint="eastAsia" w:ascii="仿宋_GB2312" w:hAnsi="黑体" w:eastAsia="仿宋_GB2312"/>
          <w:sz w:val="32"/>
          <w:szCs w:val="32"/>
        </w:rPr>
        <w:t>二）负责为促进中国（海南）自由贸易试验区（自由 贸易港）的游艇业和口岸工作提供信息技术支持，对海南省 境外游艇管理信息系统、海南省出入境邮轮管理信息系统进 行运维工作。</w:t>
      </w:r>
    </w:p>
    <w:p>
      <w:pPr>
        <w:ind w:firstLine="640" w:firstLineChars="200"/>
        <w:jc w:val="left"/>
        <w:rPr>
          <w:rFonts w:ascii="仿宋_GB2312" w:hAnsi="黑体" w:eastAsia="仿宋_GB2312" w:cs="仿宋_GB2312"/>
          <w:sz w:val="32"/>
          <w:szCs w:val="32"/>
        </w:rPr>
      </w:pPr>
      <w:bookmarkStart w:id="2" w:name="bookmark11"/>
      <w:r>
        <w:rPr>
          <w:rFonts w:hint="eastAsia" w:ascii="仿宋_GB2312" w:hAnsi="黑体" w:eastAsia="仿宋_GB2312"/>
          <w:sz w:val="32"/>
          <w:szCs w:val="32"/>
        </w:rPr>
        <w:t>（</w:t>
      </w:r>
      <w:bookmarkEnd w:id="2"/>
      <w:r>
        <w:rPr>
          <w:rFonts w:hint="eastAsia" w:ascii="仿宋_GB2312" w:hAnsi="黑体" w:eastAsia="仿宋_GB2312"/>
          <w:sz w:val="32"/>
          <w:szCs w:val="32"/>
        </w:rPr>
        <w:t>三）承办上级主管部门交办的其他工作。</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autoSpaceDE w:val="0"/>
        <w:autoSpaceDN w:val="0"/>
        <w:ind w:left="200" w:firstLine="640" w:firstLineChars="200"/>
        <w:rPr>
          <w:rFonts w:hint="eastAsia" w:ascii="仿宋_GB2312" w:hAnsi="ˎ̥" w:eastAsia="仿宋_GB2312" w:cs="仿宋_GB2312"/>
          <w:sz w:val="32"/>
          <w:szCs w:val="32"/>
          <w:lang w:val="en-US" w:eastAsia="zh-CN"/>
        </w:rPr>
      </w:pPr>
      <w:r>
        <w:rPr>
          <w:rFonts w:hint="eastAsia" w:ascii="仿宋_GB2312" w:hAnsi="ˎ̥" w:eastAsia="仿宋_GB2312" w:cs="仿宋_GB2312"/>
          <w:sz w:val="32"/>
          <w:szCs w:val="32"/>
          <w:lang w:val="en-US" w:eastAsia="zh-CN"/>
        </w:rPr>
        <w:t>海南省国际商务促进中心为财政全额拨款公益一类事业单位，纳入省商务厅部门决算编制范围的二级预算单位，内设综合部、业务一科、业务二科、业务三科4个科级机构。2023年未中心实有人数16名。</w:t>
      </w:r>
    </w:p>
    <w:p>
      <w:pPr>
        <w:pStyle w:val="6"/>
        <w:ind w:firstLine="0" w:firstLineChars="0"/>
        <w:jc w:val="left"/>
        <w:rPr>
          <w:rFonts w:ascii="黑体" w:hAnsi="黑体" w:eastAsia="黑体" w:cs="仿宋_GB2312"/>
          <w:sz w:val="32"/>
          <w:szCs w:val="32"/>
        </w:rPr>
      </w:pPr>
    </w:p>
    <w:p>
      <w:pPr>
        <w:pStyle w:val="6"/>
        <w:ind w:firstLine="0" w:firstLineChars="0"/>
        <w:jc w:val="left"/>
        <w:rPr>
          <w:rFonts w:ascii="黑体" w:hAnsi="黑体" w:eastAsia="黑体" w:cs="仿宋_GB2312"/>
          <w:sz w:val="32"/>
          <w:szCs w:val="32"/>
        </w:rPr>
      </w:pPr>
      <w:bookmarkStart w:id="3" w:name="_GoBack"/>
      <w:bookmarkEnd w:id="3"/>
    </w:p>
    <w:p>
      <w:pPr>
        <w:rPr>
          <w:rFonts w:ascii="黑体" w:hAnsi="黑体" w:eastAsia="黑体"/>
          <w:sz w:val="32"/>
          <w:szCs w:val="32"/>
        </w:rPr>
      </w:pPr>
      <w:r>
        <w:rPr>
          <w:rFonts w:hint="eastAsia" w:ascii="黑体" w:hAnsi="黑体" w:eastAsia="黑体"/>
          <w:sz w:val="32"/>
          <w:szCs w:val="32"/>
        </w:rPr>
        <w:br w:type="page"/>
      </w:r>
    </w:p>
    <w:p>
      <w:pPr>
        <w:ind w:firstLine="640" w:firstLineChars="200"/>
        <w:rPr>
          <w:rFonts w:ascii="黑体" w:hAnsi="黑体" w:eastAsia="黑体"/>
          <w:sz w:val="32"/>
          <w:szCs w:val="32"/>
        </w:rPr>
        <w:sectPr>
          <w:pgSz w:w="11906" w:h="16838"/>
          <w:pgMar w:top="1440" w:right="1800" w:bottom="1440" w:left="1800" w:header="851" w:footer="992" w:gutter="0"/>
          <w:cols w:space="720" w:num="1"/>
          <w:docGrid w:type="lines" w:linePitch="312" w:charSpace="0"/>
        </w:sectPr>
      </w:pPr>
    </w:p>
    <w:p>
      <w:pPr>
        <w:ind w:firstLine="640" w:firstLineChars="20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海南省国际商务促进中心预算表</w:t>
      </w:r>
    </w:p>
    <w:tbl>
      <w:tblPr>
        <w:tblStyle w:val="4"/>
        <w:tblW w:w="13485" w:type="dxa"/>
        <w:jc w:val="center"/>
        <w:tblLayout w:type="autofit"/>
        <w:tblCellMar>
          <w:top w:w="0" w:type="dxa"/>
          <w:left w:w="108" w:type="dxa"/>
          <w:bottom w:w="0" w:type="dxa"/>
          <w:right w:w="108" w:type="dxa"/>
        </w:tblCellMar>
      </w:tblPr>
      <w:tblGrid>
        <w:gridCol w:w="3123"/>
        <w:gridCol w:w="1447"/>
        <w:gridCol w:w="3142"/>
        <w:gridCol w:w="1447"/>
        <w:gridCol w:w="2022"/>
        <w:gridCol w:w="2312"/>
      </w:tblGrid>
      <w:tr>
        <w:tblPrEx>
          <w:tblCellMar>
            <w:top w:w="0" w:type="dxa"/>
            <w:left w:w="108" w:type="dxa"/>
            <w:bottom w:w="0" w:type="dxa"/>
            <w:right w:w="108" w:type="dxa"/>
          </w:tblCellMar>
        </w:tblPrEx>
        <w:trPr>
          <w:trHeight w:val="398" w:hRule="atLeast"/>
          <w:jc w:val="center"/>
        </w:trPr>
        <w:tc>
          <w:tcPr>
            <w:tcW w:w="13493" w:type="dxa"/>
            <w:gridSpan w:val="6"/>
            <w:tcBorders>
              <w:top w:val="nil"/>
              <w:left w:val="nil"/>
              <w:bottom w:val="nil"/>
              <w:right w:val="single" w:color="000000" w:sz="4" w:space="0"/>
            </w:tcBorders>
            <w:shd w:val="clear" w:color="auto" w:fill="auto"/>
            <w:noWrap/>
            <w:vAlign w:val="center"/>
          </w:tcPr>
          <w:p>
            <w:pPr>
              <w:widowControl/>
              <w:jc w:val="center"/>
              <w:textAlignment w:val="center"/>
              <w:rPr>
                <w:rFonts w:ascii="黑体" w:hAnsi="宋体" w:eastAsia="黑体"/>
                <w:b/>
                <w:bCs/>
                <w:color w:val="000000"/>
                <w:sz w:val="32"/>
                <w:szCs w:val="32"/>
              </w:rPr>
            </w:pPr>
            <w:r>
              <w:rPr>
                <w:rFonts w:hint="eastAsia" w:ascii="黑体" w:hAnsi="宋体" w:eastAsia="黑体"/>
                <w:b/>
                <w:bCs/>
                <w:color w:val="000000"/>
                <w:kern w:val="0"/>
                <w:sz w:val="32"/>
                <w:szCs w:val="32"/>
                <w:lang w:bidi="ar"/>
              </w:rPr>
              <w:t>财政拨款收支总表</w:t>
            </w:r>
          </w:p>
        </w:tc>
      </w:tr>
      <w:tr>
        <w:tblPrEx>
          <w:tblCellMar>
            <w:top w:w="0" w:type="dxa"/>
            <w:left w:w="108" w:type="dxa"/>
            <w:bottom w:w="0" w:type="dxa"/>
            <w:right w:w="108" w:type="dxa"/>
          </w:tblCellMar>
        </w:tblPrEx>
        <w:trPr>
          <w:trHeight w:val="341" w:hRule="atLeast"/>
          <w:jc w:val="center"/>
        </w:trPr>
        <w:tc>
          <w:tcPr>
            <w:tcW w:w="0" w:type="auto"/>
            <w:tcBorders>
              <w:top w:val="nil"/>
              <w:left w:val="nil"/>
              <w:bottom w:val="single" w:color="000000" w:sz="4" w:space="0"/>
              <w:right w:val="nil"/>
            </w:tcBorders>
            <w:shd w:val="clear" w:color="auto" w:fill="auto"/>
            <w:noWrap/>
            <w:vAlign w:val="center"/>
          </w:tcPr>
          <w:p>
            <w:pPr>
              <w:rPr>
                <w:rFonts w:ascii="宋体" w:hAnsi="宋体" w:cs="宋体"/>
                <w:color w:val="000000"/>
                <w:sz w:val="22"/>
              </w:rPr>
            </w:pPr>
          </w:p>
        </w:tc>
        <w:tc>
          <w:tcPr>
            <w:tcW w:w="0" w:type="auto"/>
            <w:tcBorders>
              <w:top w:val="nil"/>
              <w:left w:val="nil"/>
              <w:bottom w:val="single" w:color="000000" w:sz="4" w:space="0"/>
              <w:right w:val="nil"/>
            </w:tcBorders>
            <w:shd w:val="clear" w:color="auto" w:fill="auto"/>
            <w:noWrap/>
            <w:vAlign w:val="center"/>
          </w:tcPr>
          <w:p>
            <w:pPr>
              <w:rPr>
                <w:rFonts w:ascii="宋体" w:hAnsi="宋体" w:cs="宋体"/>
                <w:color w:val="000000"/>
                <w:sz w:val="22"/>
              </w:rPr>
            </w:pPr>
          </w:p>
        </w:tc>
        <w:tc>
          <w:tcPr>
            <w:tcW w:w="3255" w:type="dxa"/>
            <w:tcBorders>
              <w:top w:val="nil"/>
              <w:left w:val="nil"/>
              <w:bottom w:val="single" w:color="000000" w:sz="4" w:space="0"/>
              <w:right w:val="nil"/>
            </w:tcBorders>
            <w:shd w:val="clear" w:color="auto" w:fill="auto"/>
            <w:vAlign w:val="center"/>
          </w:tcPr>
          <w:p>
            <w:pPr>
              <w:rPr>
                <w:rFonts w:ascii="宋体" w:hAnsi="宋体" w:cs="宋体"/>
                <w:color w:val="000000"/>
                <w:sz w:val="18"/>
                <w:szCs w:val="18"/>
              </w:rPr>
            </w:pPr>
          </w:p>
        </w:tc>
        <w:tc>
          <w:tcPr>
            <w:tcW w:w="0" w:type="auto"/>
            <w:tcBorders>
              <w:top w:val="nil"/>
              <w:left w:val="nil"/>
              <w:bottom w:val="single" w:color="000000" w:sz="4" w:space="0"/>
              <w:right w:val="nil"/>
            </w:tcBorders>
            <w:shd w:val="clear" w:color="auto" w:fill="auto"/>
            <w:noWrap/>
            <w:vAlign w:val="center"/>
          </w:tcPr>
          <w:p>
            <w:pPr>
              <w:rPr>
                <w:rFonts w:ascii="宋体" w:hAnsi="宋体" w:cs="宋体"/>
                <w:color w:val="000000"/>
                <w:sz w:val="22"/>
              </w:rPr>
            </w:pPr>
          </w:p>
        </w:tc>
        <w:tc>
          <w:tcPr>
            <w:tcW w:w="0" w:type="auto"/>
            <w:tcBorders>
              <w:top w:val="nil"/>
              <w:left w:val="nil"/>
              <w:bottom w:val="single" w:color="000000" w:sz="4" w:space="0"/>
              <w:right w:val="nil"/>
            </w:tcBorders>
            <w:shd w:val="clear" w:color="auto" w:fill="auto"/>
            <w:noWrap/>
            <w:vAlign w:val="center"/>
          </w:tcPr>
          <w:p>
            <w:pPr>
              <w:jc w:val="center"/>
              <w:rPr>
                <w:rFonts w:ascii="宋体" w:hAnsi="宋体" w:cs="宋体"/>
                <w:color w:val="000000"/>
                <w:sz w:val="22"/>
              </w:rPr>
            </w:pPr>
          </w:p>
        </w:tc>
        <w:tc>
          <w:tcPr>
            <w:tcW w:w="0" w:type="auto"/>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22"/>
              </w:rPr>
            </w:pPr>
            <w:r>
              <w:rPr>
                <w:rFonts w:ascii="宋体" w:hAnsi="宋体" w:cs="宋体"/>
                <w:color w:val="000000"/>
                <w:kern w:val="0"/>
                <w:sz w:val="22"/>
                <w:lang w:bidi="ar"/>
              </w:rPr>
              <w:t>金额单位：万元</w:t>
            </w:r>
          </w:p>
        </w:tc>
      </w:tr>
      <w:tr>
        <w:tblPrEx>
          <w:tblCellMar>
            <w:top w:w="0" w:type="dxa"/>
            <w:left w:w="108" w:type="dxa"/>
            <w:bottom w:w="0" w:type="dxa"/>
            <w:right w:w="108" w:type="dxa"/>
          </w:tblCellMar>
        </w:tblPrEx>
        <w:trPr>
          <w:trHeight w:val="427"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收    入</w:t>
            </w:r>
          </w:p>
        </w:tc>
        <w:tc>
          <w:tcPr>
            <w:tcW w:w="0" w:type="auto"/>
            <w:gridSpan w:val="4"/>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支    出</w:t>
            </w:r>
          </w:p>
        </w:tc>
      </w:tr>
      <w:tr>
        <w:tblPrEx>
          <w:tblCellMar>
            <w:top w:w="0" w:type="dxa"/>
            <w:left w:w="108" w:type="dxa"/>
            <w:bottom w:w="0" w:type="dxa"/>
            <w:right w:w="108" w:type="dxa"/>
          </w:tblCellMar>
        </w:tblPrEx>
        <w:trPr>
          <w:trHeight w:val="4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一般公共预算</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政府性基金预算</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一、本年收入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1,382.68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一、本年支出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1,382.68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1,382.68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一般公共预算资金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1,382.68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1,246.12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1,246.12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政府性基金预算资金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二、上年结转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二、结转下年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1,382.68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1,382.68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1,382.68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rPr>
            </w:pPr>
          </w:p>
        </w:tc>
      </w:tr>
    </w:tbl>
    <w:p>
      <w:pPr>
        <w:ind w:left="800"/>
        <w:jc w:val="left"/>
        <w:rPr>
          <w:rFonts w:ascii="黑体" w:hAnsi="黑体" w:eastAsia="黑体"/>
          <w:sz w:val="32"/>
          <w:szCs w:val="32"/>
        </w:rPr>
      </w:pPr>
    </w:p>
    <w:p>
      <w:pPr>
        <w:ind w:left="800"/>
        <w:jc w:val="left"/>
        <w:rPr>
          <w:rFonts w:ascii="黑体" w:hAnsi="黑体" w:eastAsia="黑体"/>
          <w:sz w:val="32"/>
          <w:szCs w:val="32"/>
        </w:rPr>
      </w:pPr>
    </w:p>
    <w:p>
      <w:pPr>
        <w:ind w:left="800"/>
        <w:jc w:val="left"/>
        <w:rPr>
          <w:rFonts w:ascii="黑体" w:hAnsi="黑体" w:eastAsia="黑体"/>
          <w:sz w:val="32"/>
          <w:szCs w:val="32"/>
        </w:rPr>
      </w:pPr>
    </w:p>
    <w:p>
      <w:pPr>
        <w:ind w:left="800"/>
        <w:jc w:val="left"/>
        <w:rPr>
          <w:rFonts w:ascii="黑体" w:hAnsi="黑体" w:eastAsia="黑体"/>
          <w:sz w:val="32"/>
          <w:szCs w:val="32"/>
        </w:rPr>
      </w:pPr>
    </w:p>
    <w:tbl>
      <w:tblPr>
        <w:tblStyle w:val="4"/>
        <w:tblW w:w="12720" w:type="dxa"/>
        <w:jc w:val="center"/>
        <w:tblLayout w:type="autofit"/>
        <w:tblCellMar>
          <w:top w:w="0" w:type="dxa"/>
          <w:left w:w="108" w:type="dxa"/>
          <w:bottom w:w="0" w:type="dxa"/>
          <w:right w:w="108" w:type="dxa"/>
        </w:tblCellMar>
      </w:tblPr>
      <w:tblGrid>
        <w:gridCol w:w="923"/>
        <w:gridCol w:w="923"/>
        <w:gridCol w:w="923"/>
        <w:gridCol w:w="4050"/>
        <w:gridCol w:w="1969"/>
        <w:gridCol w:w="1969"/>
        <w:gridCol w:w="1969"/>
      </w:tblGrid>
      <w:tr>
        <w:tblPrEx>
          <w:tblCellMar>
            <w:top w:w="0" w:type="dxa"/>
            <w:left w:w="108" w:type="dxa"/>
            <w:bottom w:w="0" w:type="dxa"/>
            <w:right w:w="108" w:type="dxa"/>
          </w:tblCellMar>
        </w:tblPrEx>
        <w:trPr>
          <w:trHeight w:val="398" w:hRule="atLeast"/>
          <w:jc w:val="center"/>
        </w:trPr>
        <w:tc>
          <w:tcPr>
            <w:tcW w:w="12726" w:type="dxa"/>
            <w:gridSpan w:val="7"/>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textAlignment w:val="center"/>
              <w:rPr>
                <w:rFonts w:ascii="黑体" w:hAnsi="宋体" w:eastAsia="黑体"/>
                <w:b/>
                <w:bCs/>
                <w:color w:val="000000"/>
                <w:sz w:val="32"/>
                <w:szCs w:val="32"/>
              </w:rPr>
            </w:pPr>
            <w:r>
              <w:rPr>
                <w:rFonts w:hint="eastAsia" w:ascii="黑体" w:hAnsi="宋体" w:eastAsia="黑体"/>
                <w:b/>
                <w:bCs/>
                <w:color w:val="000000"/>
                <w:kern w:val="0"/>
                <w:sz w:val="32"/>
                <w:szCs w:val="32"/>
                <w:lang w:bidi="ar"/>
              </w:rPr>
              <w:t>一般公共预算支出表</w:t>
            </w:r>
          </w:p>
        </w:tc>
      </w:tr>
      <w:tr>
        <w:tblPrEx>
          <w:tblCellMar>
            <w:top w:w="0" w:type="dxa"/>
            <w:left w:w="108" w:type="dxa"/>
            <w:bottom w:w="0" w:type="dxa"/>
            <w:right w:w="108" w:type="dxa"/>
          </w:tblCellMar>
        </w:tblPrEx>
        <w:trPr>
          <w:trHeight w:val="341" w:hRule="atLeast"/>
          <w:jc w:val="center"/>
        </w:trPr>
        <w:tc>
          <w:tcPr>
            <w:tcW w:w="923"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923"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923"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4050"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969"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969"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969" w:type="dxa"/>
            <w:tcBorders>
              <w:top w:val="single" w:color="FFFFFF" w:sz="4" w:space="0"/>
              <w:left w:val="single" w:color="FFFFFF" w:sz="4" w:space="0"/>
              <w:bottom w:val="nil"/>
              <w:right w:val="single" w:color="FFFFFF" w:sz="4" w:space="0"/>
            </w:tcBorders>
            <w:shd w:val="clear" w:color="auto" w:fill="auto"/>
            <w:vAlign w:val="center"/>
          </w:tcPr>
          <w:p>
            <w:pPr>
              <w:widowControl/>
              <w:jc w:val="center"/>
              <w:textAlignment w:val="center"/>
              <w:rPr>
                <w:rFonts w:ascii="宋体" w:hAnsi="宋体" w:cs="宋体"/>
                <w:color w:val="000000"/>
                <w:sz w:val="22"/>
              </w:rPr>
            </w:pPr>
            <w:r>
              <w:rPr>
                <w:rFonts w:ascii="宋体" w:hAnsi="宋体" w:cs="宋体"/>
                <w:color w:val="000000"/>
                <w:kern w:val="0"/>
                <w:sz w:val="22"/>
                <w:lang w:bidi="ar"/>
              </w:rPr>
              <w:t>金额单位：万元</w:t>
            </w:r>
          </w:p>
        </w:tc>
      </w:tr>
      <w:tr>
        <w:tblPrEx>
          <w:tblCellMar>
            <w:top w:w="0" w:type="dxa"/>
            <w:left w:w="108" w:type="dxa"/>
            <w:bottom w:w="0" w:type="dxa"/>
            <w:right w:w="108"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支出功能分类科目</w:t>
            </w:r>
          </w:p>
        </w:tc>
        <w:tc>
          <w:tcPr>
            <w:tcW w:w="5907" w:type="dxa"/>
            <w:gridSpan w:val="3"/>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2024年预算数</w:t>
            </w:r>
          </w:p>
        </w:tc>
      </w:tr>
      <w:tr>
        <w:tblPrEx>
          <w:tblCellMar>
            <w:top w:w="0" w:type="dxa"/>
            <w:left w:w="108" w:type="dxa"/>
            <w:bottom w:w="0" w:type="dxa"/>
            <w:right w:w="108" w:type="dxa"/>
          </w:tblCellMar>
        </w:tblPrEx>
        <w:trPr>
          <w:trHeight w:val="27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科目名称</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合计</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基本支出</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项目支出</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类</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款</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EFF2F7" w:fill="EFF2F7"/>
            <w:noWrap/>
            <w:vAlign w:val="center"/>
          </w:tcPr>
          <w:p>
            <w:pPr>
              <w:jc w:val="center"/>
              <w:rPr>
                <w:rFonts w:ascii="宋体" w:hAnsi="宋体" w:cs="宋体"/>
                <w:b/>
                <w:bCs/>
                <w:color w:val="000000"/>
                <w:sz w:val="22"/>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r>
      <w:tr>
        <w:tblPrEx>
          <w:tblCellMar>
            <w:top w:w="0" w:type="dxa"/>
            <w:left w:w="108" w:type="dxa"/>
            <w:bottom w:w="0" w:type="dxa"/>
            <w:right w:w="108"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ascii="宋体" w:hAnsi="宋体" w:cs="宋体"/>
                <w:b/>
                <w:bCs/>
                <w:color w:val="000000"/>
                <w:kern w:val="0"/>
                <w:sz w:val="22"/>
                <w:lang w:bidi="ar"/>
              </w:rPr>
              <w:t>1,382.68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ascii="宋体" w:hAnsi="宋体" w:cs="宋体"/>
                <w:b/>
                <w:bCs/>
                <w:color w:val="000000"/>
                <w:kern w:val="0"/>
                <w:sz w:val="22"/>
                <w:lang w:bidi="ar"/>
              </w:rPr>
              <w:t>449.24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ascii="宋体" w:hAnsi="宋体" w:cs="宋体"/>
                <w:b/>
                <w:bCs/>
                <w:color w:val="000000"/>
                <w:kern w:val="0"/>
                <w:sz w:val="22"/>
                <w:lang w:bidi="ar"/>
              </w:rPr>
              <w:t>933.44</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Style w:val="11"/>
                <w:rFonts w:hint="default"/>
                <w:lang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1,246.12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312.68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933.44</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Style w:val="11"/>
                <w:rFonts w:hint="default"/>
                <w:lang w:bidi="ar"/>
              </w:rPr>
              <w:t>商贸事务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1,246.12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312.68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933.44</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50</w:t>
            </w:r>
          </w:p>
        </w:tc>
        <w:tc>
          <w:tcPr>
            <w:tcW w:w="4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Style w:val="11"/>
                <w:rFonts w:hint="default"/>
                <w:lang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312.68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312.68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99</w:t>
            </w:r>
          </w:p>
        </w:tc>
        <w:tc>
          <w:tcPr>
            <w:tcW w:w="4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Style w:val="11"/>
                <w:rFonts w:hint="default"/>
                <w:lang w:bidi="ar"/>
              </w:rPr>
              <w:t>其他商贸事务支出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933.44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933.44</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Style w:val="11"/>
                <w:rFonts w:hint="default"/>
                <w:lang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Style w:val="11"/>
                <w:rFonts w:hint="default"/>
                <w:lang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05</w:t>
            </w:r>
          </w:p>
        </w:tc>
        <w:tc>
          <w:tcPr>
            <w:tcW w:w="4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Style w:val="11"/>
                <w:rFonts w:hint="default"/>
                <w:lang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06</w:t>
            </w:r>
          </w:p>
        </w:tc>
        <w:tc>
          <w:tcPr>
            <w:tcW w:w="4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Style w:val="11"/>
                <w:rFonts w:hint="default"/>
                <w:lang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Style w:val="11"/>
                <w:rFonts w:hint="default"/>
                <w:lang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Style w:val="11"/>
                <w:rFonts w:hint="default"/>
                <w:lang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02</w:t>
            </w:r>
          </w:p>
        </w:tc>
        <w:tc>
          <w:tcPr>
            <w:tcW w:w="4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Style w:val="11"/>
                <w:rFonts w:hint="default"/>
                <w:lang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Style w:val="11"/>
                <w:rFonts w:hint="default"/>
                <w:lang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Style w:val="11"/>
                <w:rFonts w:hint="default"/>
                <w:lang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01</w:t>
            </w:r>
          </w:p>
        </w:tc>
        <w:tc>
          <w:tcPr>
            <w:tcW w:w="4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Style w:val="11"/>
                <w:rFonts w:hint="default"/>
                <w:lang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bl>
    <w:p>
      <w:pPr>
        <w:ind w:left="800"/>
        <w:jc w:val="left"/>
        <w:rPr>
          <w:rFonts w:ascii="黑体" w:hAnsi="黑体" w:eastAsia="黑体"/>
          <w:sz w:val="32"/>
          <w:szCs w:val="32"/>
        </w:rPr>
      </w:pPr>
    </w:p>
    <w:p>
      <w:pPr>
        <w:jc w:val="left"/>
        <w:rPr>
          <w:rFonts w:ascii="黑体" w:hAnsi="黑体" w:eastAsia="黑体"/>
          <w:sz w:val="32"/>
          <w:szCs w:val="32"/>
        </w:rPr>
      </w:pPr>
    </w:p>
    <w:tbl>
      <w:tblPr>
        <w:tblStyle w:val="4"/>
        <w:tblW w:w="13600" w:type="dxa"/>
        <w:jc w:val="center"/>
        <w:tblLayout w:type="autofit"/>
        <w:tblCellMar>
          <w:top w:w="0" w:type="dxa"/>
          <w:left w:w="108" w:type="dxa"/>
          <w:bottom w:w="0" w:type="dxa"/>
          <w:right w:w="108" w:type="dxa"/>
        </w:tblCellMar>
      </w:tblPr>
      <w:tblGrid>
        <w:gridCol w:w="656"/>
        <w:gridCol w:w="278"/>
        <w:gridCol w:w="923"/>
        <w:gridCol w:w="74"/>
        <w:gridCol w:w="656"/>
        <w:gridCol w:w="204"/>
        <w:gridCol w:w="831"/>
        <w:gridCol w:w="1969"/>
        <w:gridCol w:w="1275"/>
        <w:gridCol w:w="656"/>
        <w:gridCol w:w="204"/>
        <w:gridCol w:w="1071"/>
        <w:gridCol w:w="656"/>
        <w:gridCol w:w="253"/>
        <w:gridCol w:w="782"/>
        <w:gridCol w:w="1035"/>
        <w:gridCol w:w="152"/>
        <w:gridCol w:w="1498"/>
        <w:gridCol w:w="471"/>
      </w:tblGrid>
      <w:tr>
        <w:tblPrEx>
          <w:tblCellMar>
            <w:top w:w="0" w:type="dxa"/>
            <w:left w:w="108" w:type="dxa"/>
            <w:bottom w:w="0" w:type="dxa"/>
            <w:right w:w="108" w:type="dxa"/>
          </w:tblCellMar>
        </w:tblPrEx>
        <w:trPr>
          <w:trHeight w:val="398" w:hRule="atLeast"/>
          <w:jc w:val="center"/>
        </w:trPr>
        <w:tc>
          <w:tcPr>
            <w:tcW w:w="13600" w:type="dxa"/>
            <w:gridSpan w:val="19"/>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textAlignment w:val="center"/>
              <w:rPr>
                <w:rFonts w:ascii="黑体" w:hAnsi="宋体" w:eastAsia="黑体"/>
                <w:b/>
                <w:bCs/>
                <w:color w:val="000000"/>
                <w:sz w:val="32"/>
                <w:szCs w:val="32"/>
              </w:rPr>
            </w:pPr>
            <w:r>
              <w:rPr>
                <w:rFonts w:hint="eastAsia" w:ascii="黑体" w:hAnsi="宋体" w:eastAsia="黑体"/>
                <w:b/>
                <w:bCs/>
                <w:color w:val="000000"/>
                <w:kern w:val="0"/>
                <w:sz w:val="32"/>
                <w:szCs w:val="32"/>
                <w:lang w:bidi="ar"/>
              </w:rPr>
              <w:t>一般公共预算基本支出表</w:t>
            </w:r>
          </w:p>
        </w:tc>
      </w:tr>
      <w:tr>
        <w:tblPrEx>
          <w:tblCellMar>
            <w:top w:w="0" w:type="dxa"/>
            <w:left w:w="108" w:type="dxa"/>
            <w:bottom w:w="0" w:type="dxa"/>
            <w:right w:w="108" w:type="dxa"/>
          </w:tblCellMar>
        </w:tblPrEx>
        <w:trPr>
          <w:trHeight w:val="341" w:hRule="atLeast"/>
          <w:jc w:val="center"/>
        </w:trPr>
        <w:tc>
          <w:tcPr>
            <w:tcW w:w="923" w:type="dxa"/>
            <w:gridSpan w:val="2"/>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923"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923" w:type="dxa"/>
            <w:gridSpan w:val="3"/>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4924" w:type="dxa"/>
            <w:gridSpan w:val="5"/>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969" w:type="dxa"/>
            <w:gridSpan w:val="3"/>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969" w:type="dxa"/>
            <w:gridSpan w:val="3"/>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969" w:type="dxa"/>
            <w:gridSpan w:val="2"/>
            <w:tcBorders>
              <w:top w:val="single" w:color="FFFFFF" w:sz="4" w:space="0"/>
              <w:left w:val="single" w:color="FFFFFF" w:sz="4" w:space="0"/>
              <w:bottom w:val="nil"/>
              <w:right w:val="single" w:color="FFFFFF" w:sz="4" w:space="0"/>
            </w:tcBorders>
            <w:shd w:val="clear" w:color="auto" w:fill="auto"/>
            <w:vAlign w:val="center"/>
          </w:tcPr>
          <w:p>
            <w:pPr>
              <w:widowControl/>
              <w:jc w:val="center"/>
              <w:textAlignment w:val="center"/>
              <w:rPr>
                <w:rFonts w:ascii="宋体" w:hAnsi="宋体" w:cs="宋体"/>
                <w:color w:val="000000"/>
                <w:sz w:val="22"/>
              </w:rPr>
            </w:pPr>
            <w:r>
              <w:rPr>
                <w:rFonts w:ascii="宋体" w:hAnsi="宋体" w:cs="宋体"/>
                <w:color w:val="000000"/>
                <w:kern w:val="0"/>
                <w:sz w:val="22"/>
                <w:lang w:bidi="ar"/>
              </w:rPr>
              <w:t>金额单位：万元</w:t>
            </w:r>
          </w:p>
        </w:tc>
      </w:tr>
      <w:tr>
        <w:tblPrEx>
          <w:tblCellMar>
            <w:top w:w="0" w:type="dxa"/>
            <w:left w:w="108" w:type="dxa"/>
            <w:bottom w:w="0" w:type="dxa"/>
            <w:right w:w="108" w:type="dxa"/>
          </w:tblCellMar>
        </w:tblPrEx>
        <w:trPr>
          <w:trHeight w:val="270" w:hRule="atLeast"/>
          <w:jc w:val="center"/>
        </w:trPr>
        <w:tc>
          <w:tcPr>
            <w:tcW w:w="7693" w:type="dxa"/>
            <w:gridSpan w:val="11"/>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支出经济分类科目</w:t>
            </w:r>
          </w:p>
        </w:tc>
        <w:tc>
          <w:tcPr>
            <w:tcW w:w="5907" w:type="dxa"/>
            <w:gridSpan w:val="8"/>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2024年基本支出</w:t>
            </w:r>
          </w:p>
        </w:tc>
      </w:tr>
      <w:tr>
        <w:tblPrEx>
          <w:tblCellMar>
            <w:top w:w="0" w:type="dxa"/>
            <w:left w:w="108" w:type="dxa"/>
            <w:bottom w:w="0" w:type="dxa"/>
            <w:right w:w="108" w:type="dxa"/>
          </w:tblCellMar>
        </w:tblPrEx>
        <w:trPr>
          <w:trHeight w:val="270" w:hRule="atLeast"/>
          <w:jc w:val="center"/>
        </w:trPr>
        <w:tc>
          <w:tcPr>
            <w:tcW w:w="2769" w:type="dxa"/>
            <w:gridSpan w:val="6"/>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科目编码</w:t>
            </w:r>
          </w:p>
        </w:tc>
        <w:tc>
          <w:tcPr>
            <w:tcW w:w="4924" w:type="dxa"/>
            <w:gridSpan w:val="5"/>
            <w:vMerge w:val="restart"/>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科目名称</w:t>
            </w:r>
          </w:p>
        </w:tc>
        <w:tc>
          <w:tcPr>
            <w:tcW w:w="1969" w:type="dxa"/>
            <w:gridSpan w:val="3"/>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合计</w:t>
            </w:r>
          </w:p>
        </w:tc>
        <w:tc>
          <w:tcPr>
            <w:tcW w:w="1969" w:type="dxa"/>
            <w:gridSpan w:val="3"/>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人员经费</w:t>
            </w:r>
          </w:p>
        </w:tc>
        <w:tc>
          <w:tcPr>
            <w:tcW w:w="1969" w:type="dxa"/>
            <w:gridSpan w:val="2"/>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公用经费</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类</w:t>
            </w:r>
          </w:p>
        </w:tc>
        <w:tc>
          <w:tcPr>
            <w:tcW w:w="923"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款</w:t>
            </w:r>
          </w:p>
        </w:tc>
        <w:tc>
          <w:tcPr>
            <w:tcW w:w="923" w:type="dxa"/>
            <w:gridSpan w:val="3"/>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项</w:t>
            </w:r>
          </w:p>
        </w:tc>
        <w:tc>
          <w:tcPr>
            <w:tcW w:w="4924" w:type="dxa"/>
            <w:gridSpan w:val="5"/>
            <w:vMerge w:val="continue"/>
            <w:tcBorders>
              <w:top w:val="single" w:color="000000" w:sz="4" w:space="0"/>
              <w:left w:val="single" w:color="000000" w:sz="4" w:space="0"/>
              <w:bottom w:val="single" w:color="000000" w:sz="4" w:space="0"/>
              <w:right w:val="single" w:color="000000" w:sz="4" w:space="0"/>
            </w:tcBorders>
            <w:shd w:val="clear" w:color="EFF2F7" w:fill="EFF2F7"/>
            <w:noWrap/>
            <w:vAlign w:val="center"/>
          </w:tcPr>
          <w:p>
            <w:pPr>
              <w:jc w:val="center"/>
              <w:rPr>
                <w:rFonts w:ascii="宋体" w:hAnsi="宋体" w:cs="宋体"/>
                <w:b/>
                <w:bCs/>
                <w:color w:val="000000"/>
                <w:sz w:val="22"/>
              </w:rPr>
            </w:pPr>
          </w:p>
        </w:tc>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1969" w:type="dxa"/>
            <w:gridSpan w:val="2"/>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r>
      <w:tr>
        <w:tblPrEx>
          <w:tblCellMar>
            <w:top w:w="0" w:type="dxa"/>
            <w:left w:w="108" w:type="dxa"/>
            <w:bottom w:w="0" w:type="dxa"/>
            <w:right w:w="108" w:type="dxa"/>
          </w:tblCellMar>
        </w:tblPrEx>
        <w:trPr>
          <w:trHeight w:val="270" w:hRule="atLeast"/>
          <w:jc w:val="center"/>
        </w:trPr>
        <w:tc>
          <w:tcPr>
            <w:tcW w:w="769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    计</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ascii="宋体" w:hAnsi="宋体" w:cs="宋体"/>
                <w:b/>
                <w:bCs/>
                <w:color w:val="000000"/>
                <w:kern w:val="0"/>
                <w:sz w:val="22"/>
                <w:lang w:bidi="ar"/>
              </w:rPr>
              <w:t>449.24</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ascii="宋体" w:hAnsi="宋体" w:cs="宋体"/>
                <w:b/>
                <w:bCs/>
                <w:color w:val="000000"/>
                <w:kern w:val="0"/>
                <w:sz w:val="22"/>
                <w:lang w:bidi="ar"/>
              </w:rPr>
              <w:t>372.23</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ascii="宋体" w:hAnsi="宋体" w:cs="宋体"/>
                <w:b/>
                <w:bCs/>
                <w:color w:val="000000"/>
                <w:kern w:val="0"/>
                <w:sz w:val="22"/>
                <w:lang w:bidi="ar"/>
              </w:rPr>
              <w:t>77.02</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301</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工资福利支出</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370.98</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369.73</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1.25</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01</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基本工资</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71.14</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71.14</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02</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津贴补贴</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45.50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45.50</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07</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绩效工资</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110.29</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110.29</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08</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机关事业单位基本养老保险缴费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31.86</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31.86</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09</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职业年金缴费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63.46</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63.46</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职工基本医疗保险缴费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其他社会保障缴费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1.52</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1.52</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住房公积金</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14</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医疗费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1.05</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1.05</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99</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其他工资福利支出</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4.91</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3.66</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1.25</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302</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商品和服务支出</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75.16</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2.50</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72.67</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01</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办公费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6.50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6.50</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05</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水费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1.04</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1.04</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06</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电费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7.43</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7.43</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07</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邮电费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4.50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2.50</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2.00</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09</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物业管理费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14.86</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14.86</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差旅费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3.50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3.50</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维修（护）费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14</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租赁费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16</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培训费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3.76</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3.76</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17</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公务接待费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0.30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0.30</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25</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专用燃料费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0.30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0.30</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26</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劳务费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0.20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0.20</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27</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委托业务费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28</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工会经费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3.58</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3.58</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31</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公务用车运行维护费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7.65</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7.65</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99</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其他商品和服务支出</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21.55</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21.55</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303</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对个人和家庭的补助</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0.30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0.30</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99</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其他对个人和家庭的补助</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0.30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0.30</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310</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资本性支出</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2.80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2.80</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02</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办公设备购置</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2.80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2.80</w:t>
            </w:r>
          </w:p>
        </w:tc>
      </w:tr>
      <w:tr>
        <w:tblPrEx>
          <w:tblCellMar>
            <w:top w:w="0" w:type="dxa"/>
            <w:left w:w="108" w:type="dxa"/>
            <w:bottom w:w="0" w:type="dxa"/>
            <w:right w:w="108" w:type="dxa"/>
          </w:tblCellMar>
        </w:tblPrEx>
        <w:trPr>
          <w:gridAfter w:val="1"/>
          <w:wAfter w:w="471" w:type="dxa"/>
          <w:trHeight w:val="398" w:hRule="atLeast"/>
          <w:jc w:val="center"/>
        </w:trPr>
        <w:tc>
          <w:tcPr>
            <w:tcW w:w="13129" w:type="dxa"/>
            <w:gridSpan w:val="18"/>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textAlignment w:val="center"/>
              <w:rPr>
                <w:rFonts w:ascii="黑体" w:hAnsi="宋体" w:eastAsia="黑体"/>
                <w:b/>
                <w:bCs/>
                <w:color w:val="000000"/>
                <w:sz w:val="32"/>
                <w:szCs w:val="32"/>
              </w:rPr>
            </w:pPr>
            <w:r>
              <w:rPr>
                <w:rFonts w:hint="eastAsia" w:ascii="黑体" w:hAnsi="宋体" w:eastAsia="黑体"/>
                <w:b/>
                <w:bCs/>
                <w:color w:val="000000"/>
                <w:kern w:val="0"/>
                <w:sz w:val="32"/>
                <w:szCs w:val="32"/>
                <w:lang w:bidi="ar"/>
              </w:rPr>
              <w:t>一般公共预算“三公”经费支出表</w:t>
            </w:r>
          </w:p>
        </w:tc>
      </w:tr>
      <w:tr>
        <w:tblPrEx>
          <w:tblCellMar>
            <w:top w:w="0" w:type="dxa"/>
            <w:left w:w="108" w:type="dxa"/>
            <w:bottom w:w="0" w:type="dxa"/>
            <w:right w:w="108" w:type="dxa"/>
          </w:tblCellMar>
        </w:tblPrEx>
        <w:trPr>
          <w:gridAfter w:val="1"/>
          <w:wAfter w:w="471" w:type="dxa"/>
          <w:trHeight w:val="341" w:hRule="atLeast"/>
          <w:jc w:val="center"/>
        </w:trPr>
        <w:tc>
          <w:tcPr>
            <w:tcW w:w="64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1275" w:type="dxa"/>
            <w:gridSpan w:val="3"/>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64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035" w:type="dxa"/>
            <w:gridSpan w:val="2"/>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969"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275" w:type="dxa"/>
            <w:tcBorders>
              <w:top w:val="single" w:color="FFFFFF" w:sz="4" w:space="0"/>
              <w:left w:val="single" w:color="FFFFFF" w:sz="4" w:space="0"/>
              <w:bottom w:val="nil"/>
              <w:right w:val="single" w:color="FFFFFF" w:sz="4" w:space="0"/>
            </w:tcBorders>
            <w:shd w:val="clear" w:color="auto" w:fill="auto"/>
            <w:vAlign w:val="center"/>
          </w:tcPr>
          <w:p>
            <w:pPr>
              <w:jc w:val="center"/>
              <w:rPr>
                <w:rFonts w:ascii="宋体" w:hAnsi="宋体" w:cs="宋体"/>
                <w:color w:val="000000"/>
                <w:sz w:val="22"/>
              </w:rPr>
            </w:pPr>
          </w:p>
        </w:tc>
        <w:tc>
          <w:tcPr>
            <w:tcW w:w="64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1275" w:type="dxa"/>
            <w:gridSpan w:val="2"/>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64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035" w:type="dxa"/>
            <w:gridSpan w:val="2"/>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03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650" w:type="dxa"/>
            <w:gridSpan w:val="2"/>
            <w:tcBorders>
              <w:top w:val="single" w:color="FFFFFF" w:sz="4" w:space="0"/>
              <w:left w:val="single" w:color="FFFFFF" w:sz="4" w:space="0"/>
              <w:bottom w:val="nil"/>
              <w:right w:val="single" w:color="FFFFFF" w:sz="4" w:space="0"/>
            </w:tcBorders>
            <w:shd w:val="clear" w:color="auto" w:fill="auto"/>
            <w:vAlign w:val="center"/>
          </w:tcPr>
          <w:p>
            <w:pPr>
              <w:widowControl/>
              <w:jc w:val="center"/>
              <w:textAlignment w:val="center"/>
              <w:rPr>
                <w:rFonts w:ascii="宋体" w:hAnsi="宋体" w:cs="宋体"/>
                <w:color w:val="000000"/>
                <w:sz w:val="22"/>
              </w:rPr>
            </w:pPr>
            <w:r>
              <w:rPr>
                <w:rFonts w:ascii="宋体" w:hAnsi="宋体" w:cs="宋体"/>
                <w:color w:val="000000"/>
                <w:kern w:val="0"/>
                <w:sz w:val="22"/>
                <w:lang w:bidi="ar"/>
              </w:rPr>
              <w:t>金额单位：万元</w:t>
            </w:r>
          </w:p>
        </w:tc>
      </w:tr>
      <w:tr>
        <w:tblPrEx>
          <w:tblCellMar>
            <w:top w:w="0" w:type="dxa"/>
            <w:left w:w="108" w:type="dxa"/>
            <w:bottom w:w="0" w:type="dxa"/>
            <w:right w:w="108" w:type="dxa"/>
          </w:tblCellMar>
        </w:tblPrEx>
        <w:trPr>
          <w:gridAfter w:val="1"/>
          <w:wAfter w:w="471" w:type="dxa"/>
          <w:trHeight w:val="427" w:hRule="atLeast"/>
          <w:jc w:val="center"/>
        </w:trPr>
        <w:tc>
          <w:tcPr>
            <w:tcW w:w="6844" w:type="dxa"/>
            <w:gridSpan w:val="9"/>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2023年预算数</w:t>
            </w:r>
          </w:p>
        </w:tc>
        <w:tc>
          <w:tcPr>
            <w:tcW w:w="6285" w:type="dxa"/>
            <w:gridSpan w:val="9"/>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2024年预算数</w:t>
            </w:r>
          </w:p>
        </w:tc>
      </w:tr>
      <w:tr>
        <w:tblPrEx>
          <w:tblCellMar>
            <w:top w:w="0" w:type="dxa"/>
            <w:left w:w="108" w:type="dxa"/>
            <w:bottom w:w="0" w:type="dxa"/>
            <w:right w:w="108" w:type="dxa"/>
          </w:tblCellMar>
        </w:tblPrEx>
        <w:trPr>
          <w:gridAfter w:val="1"/>
          <w:wAfter w:w="471" w:type="dxa"/>
          <w:trHeight w:val="427"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合计</w:t>
            </w:r>
          </w:p>
        </w:tc>
        <w:tc>
          <w:tcPr>
            <w:tcW w:w="1275" w:type="dxa"/>
            <w:gridSpan w:val="3"/>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因公出国</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（境）费用</w:t>
            </w:r>
          </w:p>
        </w:tc>
        <w:tc>
          <w:tcPr>
            <w:tcW w:w="3649" w:type="dxa"/>
            <w:gridSpan w:val="4"/>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公务用车购置及运行费</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公务接待费</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合计</w:t>
            </w:r>
          </w:p>
        </w:tc>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因公出国</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（境）费用</w:t>
            </w:r>
          </w:p>
        </w:tc>
        <w:tc>
          <w:tcPr>
            <w:tcW w:w="2715" w:type="dxa"/>
            <w:gridSpan w:val="4"/>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公务用车购置及运行费</w:t>
            </w:r>
          </w:p>
        </w:tc>
        <w:tc>
          <w:tcPr>
            <w:tcW w:w="1650" w:type="dxa"/>
            <w:gridSpan w:val="2"/>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公务接待费</w:t>
            </w:r>
          </w:p>
        </w:tc>
      </w:tr>
      <w:tr>
        <w:tblPrEx>
          <w:tblCellMar>
            <w:top w:w="0" w:type="dxa"/>
            <w:left w:w="108" w:type="dxa"/>
            <w:bottom w:w="0" w:type="dxa"/>
            <w:right w:w="108" w:type="dxa"/>
          </w:tblCellMar>
        </w:tblPrEx>
        <w:trPr>
          <w:gridAfter w:val="1"/>
          <w:wAfter w:w="471" w:type="dxa"/>
          <w:trHeight w:val="683"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1275" w:type="dxa"/>
            <w:gridSpan w:val="3"/>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64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小计</w:t>
            </w:r>
          </w:p>
        </w:tc>
        <w:tc>
          <w:tcPr>
            <w:tcW w:w="1035" w:type="dxa"/>
            <w:gridSpan w:val="2"/>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公务用车</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购置费</w:t>
            </w:r>
          </w:p>
        </w:tc>
        <w:tc>
          <w:tcPr>
            <w:tcW w:w="1969"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公务用车</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运行费</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64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小计</w:t>
            </w:r>
          </w:p>
        </w:tc>
        <w:tc>
          <w:tcPr>
            <w:tcW w:w="1035" w:type="dxa"/>
            <w:gridSpan w:val="2"/>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公务用车</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购置费</w:t>
            </w:r>
          </w:p>
        </w:tc>
        <w:tc>
          <w:tcPr>
            <w:tcW w:w="103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公务用车</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运行费</w:t>
            </w:r>
          </w:p>
        </w:tc>
        <w:tc>
          <w:tcPr>
            <w:tcW w:w="1650" w:type="dxa"/>
            <w:gridSpan w:val="2"/>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r>
      <w:tr>
        <w:tblPrEx>
          <w:tblCellMar>
            <w:top w:w="0" w:type="dxa"/>
            <w:left w:w="108" w:type="dxa"/>
            <w:bottom w:w="0" w:type="dxa"/>
            <w:right w:w="108" w:type="dxa"/>
          </w:tblCellMar>
        </w:tblPrEx>
        <w:trPr>
          <w:gridAfter w:val="1"/>
          <w:wAfter w:w="471" w:type="dxa"/>
          <w:trHeight w:val="5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7.95</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7.65</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7.65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0.30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7.95</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7.65</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7.65</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0.30</w:t>
            </w:r>
          </w:p>
        </w:tc>
      </w:tr>
      <w:tr>
        <w:tblPrEx>
          <w:tblCellMar>
            <w:top w:w="0" w:type="dxa"/>
            <w:left w:w="108" w:type="dxa"/>
            <w:bottom w:w="0" w:type="dxa"/>
            <w:right w:w="108" w:type="dxa"/>
          </w:tblCellMar>
        </w:tblPrEx>
        <w:trPr>
          <w:trHeight w:val="700" w:hRule="atLeast"/>
          <w:jc w:val="center"/>
        </w:trPr>
        <w:tc>
          <w:tcPr>
            <w:tcW w:w="13600" w:type="dxa"/>
            <w:gridSpan w:val="19"/>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textAlignment w:val="center"/>
              <w:rPr>
                <w:rFonts w:ascii="黑体" w:hAnsi="宋体" w:eastAsia="黑体"/>
                <w:b/>
                <w:bCs/>
                <w:color w:val="000000"/>
                <w:sz w:val="32"/>
                <w:szCs w:val="32"/>
              </w:rPr>
            </w:pPr>
            <w:r>
              <w:rPr>
                <w:rFonts w:hint="eastAsia" w:ascii="黑体" w:hAnsi="宋体" w:eastAsia="黑体"/>
                <w:b/>
                <w:bCs/>
                <w:color w:val="000000"/>
                <w:kern w:val="0"/>
                <w:sz w:val="32"/>
                <w:szCs w:val="32"/>
                <w:lang w:bidi="ar"/>
              </w:rPr>
              <w:t>政府性基金预算支出表</w:t>
            </w:r>
          </w:p>
        </w:tc>
      </w:tr>
      <w:tr>
        <w:tblPrEx>
          <w:tblCellMar>
            <w:top w:w="0" w:type="dxa"/>
            <w:left w:w="108" w:type="dxa"/>
            <w:bottom w:w="0" w:type="dxa"/>
            <w:right w:w="108" w:type="dxa"/>
          </w:tblCellMar>
        </w:tblPrEx>
        <w:trPr>
          <w:trHeight w:val="341" w:hRule="atLeast"/>
          <w:jc w:val="center"/>
        </w:trPr>
        <w:tc>
          <w:tcPr>
            <w:tcW w:w="923" w:type="dxa"/>
            <w:gridSpan w:val="2"/>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923"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923" w:type="dxa"/>
            <w:gridSpan w:val="3"/>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4924" w:type="dxa"/>
            <w:gridSpan w:val="5"/>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969" w:type="dxa"/>
            <w:gridSpan w:val="3"/>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969" w:type="dxa"/>
            <w:gridSpan w:val="3"/>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969" w:type="dxa"/>
            <w:gridSpan w:val="2"/>
            <w:tcBorders>
              <w:top w:val="single" w:color="FFFFFF" w:sz="4" w:space="0"/>
              <w:left w:val="single" w:color="FFFFFF" w:sz="4" w:space="0"/>
              <w:bottom w:val="nil"/>
              <w:right w:val="single" w:color="FFFFFF" w:sz="4" w:space="0"/>
            </w:tcBorders>
            <w:shd w:val="clear" w:color="auto" w:fill="auto"/>
            <w:vAlign w:val="center"/>
          </w:tcPr>
          <w:p>
            <w:pPr>
              <w:widowControl/>
              <w:jc w:val="center"/>
              <w:textAlignment w:val="center"/>
              <w:rPr>
                <w:rFonts w:ascii="宋体" w:hAnsi="宋体" w:cs="宋体"/>
                <w:color w:val="000000"/>
                <w:sz w:val="22"/>
              </w:rPr>
            </w:pPr>
            <w:r>
              <w:rPr>
                <w:rFonts w:ascii="宋体" w:hAnsi="宋体" w:cs="宋体"/>
                <w:color w:val="000000"/>
                <w:kern w:val="0"/>
                <w:sz w:val="22"/>
                <w:lang w:bidi="ar"/>
              </w:rPr>
              <w:t>金额单位：万元</w:t>
            </w:r>
          </w:p>
        </w:tc>
      </w:tr>
      <w:tr>
        <w:tblPrEx>
          <w:tblCellMar>
            <w:top w:w="0" w:type="dxa"/>
            <w:left w:w="108" w:type="dxa"/>
            <w:bottom w:w="0" w:type="dxa"/>
            <w:right w:w="108" w:type="dxa"/>
          </w:tblCellMar>
        </w:tblPrEx>
        <w:trPr>
          <w:trHeight w:val="427" w:hRule="atLeast"/>
          <w:jc w:val="center"/>
        </w:trPr>
        <w:tc>
          <w:tcPr>
            <w:tcW w:w="7693" w:type="dxa"/>
            <w:gridSpan w:val="11"/>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支出功能分类科目</w:t>
            </w:r>
          </w:p>
        </w:tc>
        <w:tc>
          <w:tcPr>
            <w:tcW w:w="5907" w:type="dxa"/>
            <w:gridSpan w:val="8"/>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2024年预算数</w:t>
            </w:r>
          </w:p>
        </w:tc>
      </w:tr>
      <w:tr>
        <w:tblPrEx>
          <w:tblCellMar>
            <w:top w:w="0" w:type="dxa"/>
            <w:left w:w="108" w:type="dxa"/>
            <w:bottom w:w="0" w:type="dxa"/>
            <w:right w:w="108" w:type="dxa"/>
          </w:tblCellMar>
        </w:tblPrEx>
        <w:trPr>
          <w:trHeight w:val="427" w:hRule="atLeast"/>
          <w:jc w:val="center"/>
        </w:trPr>
        <w:tc>
          <w:tcPr>
            <w:tcW w:w="2769" w:type="dxa"/>
            <w:gridSpan w:val="6"/>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科目编码</w:t>
            </w:r>
          </w:p>
        </w:tc>
        <w:tc>
          <w:tcPr>
            <w:tcW w:w="4924" w:type="dxa"/>
            <w:gridSpan w:val="5"/>
            <w:vMerge w:val="restart"/>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科目名称</w:t>
            </w:r>
          </w:p>
        </w:tc>
        <w:tc>
          <w:tcPr>
            <w:tcW w:w="1969" w:type="dxa"/>
            <w:gridSpan w:val="3"/>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合计</w:t>
            </w:r>
          </w:p>
        </w:tc>
        <w:tc>
          <w:tcPr>
            <w:tcW w:w="1969" w:type="dxa"/>
            <w:gridSpan w:val="3"/>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基本支出</w:t>
            </w:r>
          </w:p>
        </w:tc>
        <w:tc>
          <w:tcPr>
            <w:tcW w:w="1969" w:type="dxa"/>
            <w:gridSpan w:val="2"/>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项目支出</w:t>
            </w:r>
          </w:p>
        </w:tc>
      </w:tr>
      <w:tr>
        <w:tblPrEx>
          <w:tblCellMar>
            <w:top w:w="0" w:type="dxa"/>
            <w:left w:w="108" w:type="dxa"/>
            <w:bottom w:w="0" w:type="dxa"/>
            <w:right w:w="108" w:type="dxa"/>
          </w:tblCellMar>
        </w:tblPrEx>
        <w:trPr>
          <w:trHeight w:val="427"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类</w:t>
            </w:r>
          </w:p>
        </w:tc>
        <w:tc>
          <w:tcPr>
            <w:tcW w:w="923"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款</w:t>
            </w:r>
          </w:p>
        </w:tc>
        <w:tc>
          <w:tcPr>
            <w:tcW w:w="923" w:type="dxa"/>
            <w:gridSpan w:val="3"/>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项</w:t>
            </w:r>
          </w:p>
        </w:tc>
        <w:tc>
          <w:tcPr>
            <w:tcW w:w="4924" w:type="dxa"/>
            <w:gridSpan w:val="5"/>
            <w:vMerge w:val="continue"/>
            <w:tcBorders>
              <w:top w:val="single" w:color="000000" w:sz="4" w:space="0"/>
              <w:left w:val="single" w:color="000000" w:sz="4" w:space="0"/>
              <w:bottom w:val="single" w:color="000000" w:sz="4" w:space="0"/>
              <w:right w:val="single" w:color="000000" w:sz="4" w:space="0"/>
            </w:tcBorders>
            <w:shd w:val="clear" w:color="EFF2F7" w:fill="EFF2F7"/>
            <w:noWrap/>
            <w:vAlign w:val="center"/>
          </w:tcPr>
          <w:p>
            <w:pPr>
              <w:jc w:val="center"/>
              <w:rPr>
                <w:rFonts w:ascii="宋体" w:hAnsi="宋体" w:cs="宋体"/>
                <w:b/>
                <w:bCs/>
                <w:color w:val="000000"/>
                <w:sz w:val="22"/>
              </w:rPr>
            </w:pPr>
          </w:p>
        </w:tc>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1969" w:type="dxa"/>
            <w:gridSpan w:val="2"/>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r>
      <w:tr>
        <w:tblPrEx>
          <w:tblCellMar>
            <w:top w:w="0" w:type="dxa"/>
            <w:left w:w="108" w:type="dxa"/>
            <w:bottom w:w="0" w:type="dxa"/>
            <w:right w:w="108" w:type="dxa"/>
          </w:tblCellMar>
        </w:tblPrEx>
        <w:trPr>
          <w:trHeight w:val="398" w:hRule="atLeast"/>
          <w:jc w:val="center"/>
        </w:trPr>
        <w:tc>
          <w:tcPr>
            <w:tcW w:w="769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    计</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rPr>
            </w:pP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rPr>
            </w:pPr>
          </w:p>
        </w:tc>
      </w:tr>
      <w:tr>
        <w:tblPrEx>
          <w:tblCellMar>
            <w:top w:w="0" w:type="dxa"/>
            <w:left w:w="108" w:type="dxa"/>
            <w:bottom w:w="0" w:type="dxa"/>
            <w:right w:w="108" w:type="dxa"/>
          </w:tblCellMar>
        </w:tblPrEx>
        <w:trPr>
          <w:trHeight w:val="398"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000000"/>
                <w:sz w:val="22"/>
              </w:rPr>
            </w:pP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bl>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备注：本年没有发生与该表相关的收支预算数据</w:t>
      </w:r>
    </w:p>
    <w:tbl>
      <w:tblPr>
        <w:tblStyle w:val="4"/>
        <w:tblW w:w="11835" w:type="dxa"/>
        <w:jc w:val="center"/>
        <w:tblLayout w:type="autofit"/>
        <w:tblCellMar>
          <w:top w:w="0" w:type="dxa"/>
          <w:left w:w="108" w:type="dxa"/>
          <w:bottom w:w="0" w:type="dxa"/>
          <w:right w:w="108" w:type="dxa"/>
        </w:tblCellMar>
      </w:tblPr>
      <w:tblGrid>
        <w:gridCol w:w="555"/>
        <w:gridCol w:w="1275"/>
        <w:gridCol w:w="555"/>
        <w:gridCol w:w="1035"/>
        <w:gridCol w:w="1035"/>
        <w:gridCol w:w="1275"/>
        <w:gridCol w:w="555"/>
        <w:gridCol w:w="1275"/>
        <w:gridCol w:w="555"/>
        <w:gridCol w:w="1035"/>
        <w:gridCol w:w="1035"/>
        <w:gridCol w:w="1650"/>
      </w:tblGrid>
      <w:tr>
        <w:tblPrEx>
          <w:tblCellMar>
            <w:top w:w="0" w:type="dxa"/>
            <w:left w:w="108" w:type="dxa"/>
            <w:bottom w:w="0" w:type="dxa"/>
            <w:right w:w="108" w:type="dxa"/>
          </w:tblCellMar>
        </w:tblPrEx>
        <w:trPr>
          <w:trHeight w:val="398" w:hRule="atLeast"/>
          <w:jc w:val="center"/>
        </w:trPr>
        <w:tc>
          <w:tcPr>
            <w:tcW w:w="11835" w:type="dxa"/>
            <w:gridSpan w:val="12"/>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textAlignment w:val="center"/>
              <w:rPr>
                <w:rFonts w:ascii="黑体" w:hAnsi="宋体" w:eastAsia="黑体"/>
                <w:b/>
                <w:bCs/>
                <w:color w:val="000000"/>
                <w:sz w:val="32"/>
                <w:szCs w:val="32"/>
              </w:rPr>
            </w:pPr>
            <w:r>
              <w:rPr>
                <w:rFonts w:hint="eastAsia" w:ascii="黑体" w:hAnsi="宋体" w:eastAsia="黑体"/>
                <w:b/>
                <w:bCs/>
                <w:color w:val="000000"/>
                <w:kern w:val="0"/>
                <w:sz w:val="32"/>
                <w:szCs w:val="32"/>
                <w:lang w:bidi="ar"/>
              </w:rPr>
              <w:t>政府性基金预算“三公”经费支出表</w:t>
            </w:r>
          </w:p>
        </w:tc>
      </w:tr>
      <w:tr>
        <w:tblPrEx>
          <w:tblCellMar>
            <w:top w:w="0" w:type="dxa"/>
            <w:left w:w="108" w:type="dxa"/>
            <w:bottom w:w="0" w:type="dxa"/>
            <w:right w:w="108" w:type="dxa"/>
          </w:tblCellMar>
        </w:tblPrEx>
        <w:trPr>
          <w:trHeight w:val="341" w:hRule="atLeast"/>
          <w:jc w:val="center"/>
        </w:trPr>
        <w:tc>
          <w:tcPr>
            <w:tcW w:w="55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127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55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03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03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275" w:type="dxa"/>
            <w:tcBorders>
              <w:top w:val="single" w:color="FFFFFF" w:sz="4" w:space="0"/>
              <w:left w:val="single" w:color="FFFFFF" w:sz="4" w:space="0"/>
              <w:bottom w:val="nil"/>
              <w:right w:val="single" w:color="FFFFFF" w:sz="4" w:space="0"/>
            </w:tcBorders>
            <w:shd w:val="clear" w:color="auto" w:fill="auto"/>
            <w:vAlign w:val="center"/>
          </w:tcPr>
          <w:p>
            <w:pPr>
              <w:jc w:val="center"/>
              <w:rPr>
                <w:rFonts w:ascii="宋体" w:hAnsi="宋体" w:cs="宋体"/>
                <w:color w:val="000000"/>
                <w:sz w:val="22"/>
              </w:rPr>
            </w:pPr>
          </w:p>
        </w:tc>
        <w:tc>
          <w:tcPr>
            <w:tcW w:w="55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127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55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03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03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650" w:type="dxa"/>
            <w:tcBorders>
              <w:top w:val="single" w:color="FFFFFF" w:sz="4" w:space="0"/>
              <w:left w:val="single" w:color="FFFFFF" w:sz="4" w:space="0"/>
              <w:bottom w:val="nil"/>
              <w:right w:val="single" w:color="FFFFFF" w:sz="4" w:space="0"/>
            </w:tcBorders>
            <w:shd w:val="clear" w:color="auto" w:fill="auto"/>
            <w:vAlign w:val="center"/>
          </w:tcPr>
          <w:p>
            <w:pPr>
              <w:widowControl/>
              <w:jc w:val="center"/>
              <w:textAlignment w:val="center"/>
              <w:rPr>
                <w:rFonts w:ascii="宋体" w:hAnsi="宋体" w:cs="宋体"/>
                <w:color w:val="000000"/>
                <w:sz w:val="22"/>
              </w:rPr>
            </w:pPr>
            <w:r>
              <w:rPr>
                <w:rFonts w:ascii="宋体" w:hAnsi="宋体" w:cs="宋体"/>
                <w:color w:val="000000"/>
                <w:kern w:val="0"/>
                <w:sz w:val="22"/>
                <w:lang w:bidi="ar"/>
              </w:rPr>
              <w:t>金额单位：万元</w:t>
            </w:r>
          </w:p>
        </w:tc>
      </w:tr>
      <w:tr>
        <w:tblPrEx>
          <w:tblCellMar>
            <w:top w:w="0" w:type="dxa"/>
            <w:left w:w="108" w:type="dxa"/>
            <w:bottom w:w="0" w:type="dxa"/>
            <w:right w:w="108" w:type="dxa"/>
          </w:tblCellMar>
        </w:tblPrEx>
        <w:trPr>
          <w:trHeight w:val="427" w:hRule="atLeast"/>
          <w:jc w:val="center"/>
        </w:trPr>
        <w:tc>
          <w:tcPr>
            <w:tcW w:w="5730" w:type="dxa"/>
            <w:gridSpan w:val="6"/>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2023年预算数</w:t>
            </w:r>
          </w:p>
        </w:tc>
        <w:tc>
          <w:tcPr>
            <w:tcW w:w="6105" w:type="dxa"/>
            <w:gridSpan w:val="6"/>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2024年预算数</w:t>
            </w:r>
          </w:p>
        </w:tc>
      </w:tr>
      <w:tr>
        <w:tblPrEx>
          <w:tblCellMar>
            <w:top w:w="0" w:type="dxa"/>
            <w:left w:w="108" w:type="dxa"/>
            <w:bottom w:w="0" w:type="dxa"/>
            <w:right w:w="108" w:type="dxa"/>
          </w:tblCellMar>
        </w:tblPrEx>
        <w:trPr>
          <w:trHeight w:val="427"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合计</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因公出国</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（境）费用</w:t>
            </w:r>
          </w:p>
        </w:tc>
        <w:tc>
          <w:tcPr>
            <w:tcW w:w="2625" w:type="dxa"/>
            <w:gridSpan w:val="3"/>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公务用车购置及运行费</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公务接待费</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合计</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因公出国</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（境）费用</w:t>
            </w:r>
          </w:p>
        </w:tc>
        <w:tc>
          <w:tcPr>
            <w:tcW w:w="2625" w:type="dxa"/>
            <w:gridSpan w:val="3"/>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公务用车购置及运行费</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公务接待费</w:t>
            </w:r>
          </w:p>
        </w:tc>
      </w:tr>
      <w:tr>
        <w:tblPrEx>
          <w:tblCellMar>
            <w:top w:w="0" w:type="dxa"/>
            <w:left w:w="108" w:type="dxa"/>
            <w:bottom w:w="0" w:type="dxa"/>
            <w:right w:w="108" w:type="dxa"/>
          </w:tblCellMar>
        </w:tblPrEx>
        <w:trPr>
          <w:trHeight w:val="683"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小计</w:t>
            </w:r>
          </w:p>
        </w:tc>
        <w:tc>
          <w:tcPr>
            <w:tcW w:w="103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公务用车</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购置费</w:t>
            </w:r>
          </w:p>
        </w:tc>
        <w:tc>
          <w:tcPr>
            <w:tcW w:w="103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公务用车</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运行费</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小计</w:t>
            </w:r>
          </w:p>
        </w:tc>
        <w:tc>
          <w:tcPr>
            <w:tcW w:w="103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公务用车</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购置费</w:t>
            </w:r>
          </w:p>
        </w:tc>
        <w:tc>
          <w:tcPr>
            <w:tcW w:w="103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公务用车</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运行费</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r>
      <w:tr>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bl>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备注：本年没有发生与该表相关的收支预算数据</w:t>
      </w:r>
    </w:p>
    <w:p>
      <w:pPr>
        <w:jc w:val="left"/>
        <w:rPr>
          <w:rFonts w:ascii="仿宋_GB2312" w:hAnsi="仿宋_GB2312" w:eastAsia="仿宋_GB2312" w:cs="仿宋_GB2312"/>
          <w:sz w:val="32"/>
          <w:szCs w:val="32"/>
        </w:rPr>
      </w:pPr>
    </w:p>
    <w:tbl>
      <w:tblPr>
        <w:tblStyle w:val="4"/>
        <w:tblW w:w="11940" w:type="dxa"/>
        <w:jc w:val="center"/>
        <w:tblLayout w:type="autofit"/>
        <w:tblCellMar>
          <w:top w:w="0" w:type="dxa"/>
          <w:left w:w="108" w:type="dxa"/>
          <w:bottom w:w="0" w:type="dxa"/>
          <w:right w:w="108" w:type="dxa"/>
        </w:tblCellMar>
      </w:tblPr>
      <w:tblGrid>
        <w:gridCol w:w="3939"/>
        <w:gridCol w:w="1567"/>
        <w:gridCol w:w="3939"/>
        <w:gridCol w:w="2495"/>
      </w:tblGrid>
      <w:tr>
        <w:tblPrEx>
          <w:tblCellMar>
            <w:top w:w="0" w:type="dxa"/>
            <w:left w:w="108" w:type="dxa"/>
            <w:bottom w:w="0" w:type="dxa"/>
            <w:right w:w="108" w:type="dxa"/>
          </w:tblCellMar>
        </w:tblPrEx>
        <w:trPr>
          <w:trHeight w:val="398" w:hRule="atLeast"/>
          <w:jc w:val="center"/>
        </w:trPr>
        <w:tc>
          <w:tcPr>
            <w:tcW w:w="11940" w:type="dxa"/>
            <w:gridSpan w:val="4"/>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textAlignment w:val="center"/>
              <w:rPr>
                <w:rFonts w:ascii="黑体" w:hAnsi="宋体" w:eastAsia="黑体"/>
                <w:b/>
                <w:bCs/>
                <w:color w:val="000000"/>
                <w:sz w:val="32"/>
                <w:szCs w:val="32"/>
              </w:rPr>
            </w:pPr>
            <w:r>
              <w:rPr>
                <w:rFonts w:hint="eastAsia" w:ascii="黑体" w:hAnsi="宋体" w:eastAsia="黑体"/>
                <w:b/>
                <w:bCs/>
                <w:color w:val="000000"/>
                <w:kern w:val="0"/>
                <w:sz w:val="32"/>
                <w:szCs w:val="32"/>
                <w:lang w:bidi="ar"/>
              </w:rPr>
              <w:t>部门收支总表</w:t>
            </w:r>
          </w:p>
        </w:tc>
      </w:tr>
      <w:tr>
        <w:tblPrEx>
          <w:tblCellMar>
            <w:top w:w="0" w:type="dxa"/>
            <w:left w:w="108" w:type="dxa"/>
            <w:bottom w:w="0" w:type="dxa"/>
            <w:right w:w="108" w:type="dxa"/>
          </w:tblCellMar>
        </w:tblPrEx>
        <w:trPr>
          <w:trHeight w:val="341" w:hRule="atLeast"/>
          <w:jc w:val="center"/>
        </w:trPr>
        <w:tc>
          <w:tcPr>
            <w:tcW w:w="0" w:type="auto"/>
            <w:tcBorders>
              <w:top w:val="single" w:color="FFFFFF" w:sz="4" w:space="0"/>
              <w:left w:val="single" w:color="FFFFFF" w:sz="4" w:space="0"/>
              <w:bottom w:val="nil"/>
              <w:right w:val="single" w:color="FFFFFF" w:sz="4" w:space="0"/>
            </w:tcBorders>
            <w:shd w:val="clear" w:color="auto" w:fill="auto"/>
            <w:noWrap/>
            <w:vAlign w:val="center"/>
          </w:tcPr>
          <w:p>
            <w:pPr>
              <w:rPr>
                <w:rFonts w:ascii="宋体" w:hAnsi="宋体" w:cs="宋体"/>
                <w:color w:val="000000"/>
                <w:sz w:val="22"/>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rPr>
                <w:rFonts w:ascii="宋体" w:hAnsi="宋体" w:cs="宋体"/>
                <w:color w:val="000000"/>
                <w:sz w:val="22"/>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rPr>
                <w:rFonts w:ascii="宋体" w:hAnsi="宋体" w:cs="宋体"/>
                <w:color w:val="000000"/>
                <w:sz w:val="22"/>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金额单位：万元</w:t>
            </w:r>
          </w:p>
        </w:tc>
      </w:tr>
      <w:tr>
        <w:tblPrEx>
          <w:tblCellMar>
            <w:top w:w="0" w:type="dxa"/>
            <w:left w:w="108" w:type="dxa"/>
            <w:bottom w:w="0" w:type="dxa"/>
            <w:right w:w="108" w:type="dxa"/>
          </w:tblCellMar>
        </w:tblPrEx>
        <w:trPr>
          <w:trHeight w:val="427"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支    出</w:t>
            </w:r>
          </w:p>
        </w:tc>
      </w:tr>
      <w:tr>
        <w:tblPrEx>
          <w:tblCellMar>
            <w:top w:w="0" w:type="dxa"/>
            <w:left w:w="108" w:type="dxa"/>
            <w:bottom w:w="0" w:type="dxa"/>
            <w:right w:w="108" w:type="dxa"/>
          </w:tblCellMar>
        </w:tblPrEx>
        <w:trPr>
          <w:trHeight w:val="4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预算数</w:t>
            </w: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1,382.68</w:t>
            </w: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1,246.12</w:t>
            </w: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六、上级补助收入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八、事业单位经营收入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95.32</w:t>
            </w: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九、其他收入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1,382.68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1,382.68</w:t>
            </w: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上年结转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结转下年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1,382.68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1,382.68</w:t>
            </w:r>
          </w:p>
        </w:tc>
      </w:tr>
    </w:tbl>
    <w:p>
      <w:pPr>
        <w:jc w:val="left"/>
        <w:rPr>
          <w:rFonts w:ascii="黑体" w:hAnsi="黑体" w:eastAsia="黑体"/>
          <w:sz w:val="32"/>
          <w:szCs w:val="32"/>
        </w:rPr>
      </w:pPr>
    </w:p>
    <w:tbl>
      <w:tblPr>
        <w:tblStyle w:val="4"/>
        <w:tblW w:w="15015" w:type="dxa"/>
        <w:jc w:val="center"/>
        <w:tblLayout w:type="autofit"/>
        <w:tblCellMar>
          <w:top w:w="0" w:type="dxa"/>
          <w:left w:w="108" w:type="dxa"/>
          <w:bottom w:w="0" w:type="dxa"/>
          <w:right w:w="108" w:type="dxa"/>
        </w:tblCellMar>
      </w:tblPr>
      <w:tblGrid>
        <w:gridCol w:w="1963"/>
        <w:gridCol w:w="2375"/>
        <w:gridCol w:w="1494"/>
        <w:gridCol w:w="937"/>
        <w:gridCol w:w="1666"/>
        <w:gridCol w:w="1242"/>
        <w:gridCol w:w="937"/>
        <w:gridCol w:w="1242"/>
        <w:gridCol w:w="631"/>
        <w:gridCol w:w="631"/>
        <w:gridCol w:w="631"/>
        <w:gridCol w:w="631"/>
        <w:gridCol w:w="635"/>
      </w:tblGrid>
      <w:tr>
        <w:tblPrEx>
          <w:tblCellMar>
            <w:top w:w="0" w:type="dxa"/>
            <w:left w:w="108" w:type="dxa"/>
            <w:bottom w:w="0" w:type="dxa"/>
            <w:right w:w="108" w:type="dxa"/>
          </w:tblCellMar>
        </w:tblPrEx>
        <w:trPr>
          <w:trHeight w:val="398" w:hRule="atLeast"/>
          <w:jc w:val="center"/>
        </w:trPr>
        <w:tc>
          <w:tcPr>
            <w:tcW w:w="15015" w:type="dxa"/>
            <w:gridSpan w:val="13"/>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textAlignment w:val="center"/>
              <w:rPr>
                <w:rFonts w:ascii="黑体" w:hAnsi="宋体" w:eastAsia="黑体"/>
                <w:b/>
                <w:bCs/>
                <w:color w:val="000000"/>
                <w:sz w:val="32"/>
                <w:szCs w:val="32"/>
              </w:rPr>
            </w:pPr>
            <w:r>
              <w:rPr>
                <w:rFonts w:hint="eastAsia" w:ascii="黑体" w:hAnsi="宋体" w:eastAsia="黑体"/>
                <w:b/>
                <w:bCs/>
                <w:color w:val="000000"/>
                <w:kern w:val="0"/>
                <w:sz w:val="32"/>
                <w:szCs w:val="32"/>
                <w:lang w:bidi="ar"/>
              </w:rPr>
              <w:t>部门收入总表</w:t>
            </w:r>
          </w:p>
        </w:tc>
      </w:tr>
      <w:tr>
        <w:tblPrEx>
          <w:tblCellMar>
            <w:top w:w="0" w:type="dxa"/>
            <w:left w:w="108" w:type="dxa"/>
            <w:bottom w:w="0" w:type="dxa"/>
            <w:right w:w="108" w:type="dxa"/>
          </w:tblCellMar>
        </w:tblPrEx>
        <w:trPr>
          <w:trHeight w:val="341" w:hRule="atLeast"/>
          <w:jc w:val="center"/>
        </w:trPr>
        <w:tc>
          <w:tcPr>
            <w:tcW w:w="0" w:type="auto"/>
            <w:tcBorders>
              <w:top w:val="single" w:color="FFFFFF" w:sz="4" w:space="0"/>
              <w:left w:val="single" w:color="FFFFFF" w:sz="4" w:space="0"/>
              <w:bottom w:val="nil"/>
              <w:right w:val="single" w:color="FFFFFF" w:sz="4" w:space="0"/>
            </w:tcBorders>
            <w:shd w:val="clear" w:color="auto" w:fill="auto"/>
            <w:noWrap/>
            <w:vAlign w:val="center"/>
          </w:tcPr>
          <w:p>
            <w:pPr>
              <w:rPr>
                <w:rFonts w:ascii="宋体" w:hAnsi="宋体" w:cs="宋体"/>
                <w:color w:val="FFFFFF"/>
                <w:sz w:val="22"/>
              </w:rPr>
            </w:pPr>
          </w:p>
        </w:tc>
        <w:tc>
          <w:tcPr>
            <w:tcW w:w="2190"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C0C0C0"/>
                <w:sz w:val="20"/>
                <w:szCs w:val="20"/>
              </w:rPr>
            </w:pPr>
          </w:p>
        </w:tc>
        <w:tc>
          <w:tcPr>
            <w:tcW w:w="124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C0C0C0"/>
                <w:sz w:val="20"/>
                <w:szCs w:val="20"/>
              </w:rPr>
            </w:pPr>
          </w:p>
        </w:tc>
        <w:tc>
          <w:tcPr>
            <w:tcW w:w="103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right"/>
              <w:rPr>
                <w:rFonts w:ascii="宋体" w:hAnsi="宋体" w:cs="宋体"/>
                <w:color w:val="000000"/>
                <w:sz w:val="22"/>
              </w:rPr>
            </w:pPr>
          </w:p>
        </w:tc>
        <w:tc>
          <w:tcPr>
            <w:tcW w:w="151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03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51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55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55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0" w:type="auto"/>
            <w:gridSpan w:val="3"/>
            <w:tcBorders>
              <w:top w:val="single" w:color="FFFFFF" w:sz="4" w:space="0"/>
              <w:left w:val="single" w:color="FFFFFF" w:sz="4" w:space="0"/>
              <w:bottom w:val="nil"/>
              <w:right w:val="single" w:color="FFFFFF" w:sz="4" w:space="0"/>
            </w:tcBorders>
            <w:shd w:val="clear" w:color="auto" w:fill="auto"/>
            <w:noWrap/>
            <w:vAlign w:val="center"/>
          </w:tcPr>
          <w:p>
            <w:pPr>
              <w:widowControl/>
              <w:jc w:val="center"/>
              <w:textAlignment w:val="center"/>
              <w:rPr>
                <w:rFonts w:ascii="宋体" w:hAnsi="宋体" w:cs="宋体"/>
                <w:color w:val="000000"/>
                <w:sz w:val="22"/>
              </w:rPr>
            </w:pPr>
            <w:r>
              <w:rPr>
                <w:rFonts w:ascii="宋体" w:hAnsi="宋体" w:cs="宋体"/>
                <w:color w:val="000000"/>
                <w:kern w:val="0"/>
                <w:sz w:val="22"/>
                <w:lang w:bidi="ar"/>
              </w:rPr>
              <w:t>金额单位：万元</w:t>
            </w:r>
          </w:p>
        </w:tc>
      </w:tr>
      <w:tr>
        <w:tblPrEx>
          <w:tblCellMar>
            <w:top w:w="0" w:type="dxa"/>
            <w:left w:w="108" w:type="dxa"/>
            <w:bottom w:w="0" w:type="dxa"/>
            <w:right w:w="108" w:type="dxa"/>
          </w:tblCellMar>
        </w:tblPrEx>
        <w:trPr>
          <w:trHeight w:val="427"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部门（单位）</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部门（单位）</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名称</w:t>
            </w:r>
          </w:p>
        </w:tc>
        <w:tc>
          <w:tcPr>
            <w:tcW w:w="0" w:type="auto"/>
            <w:gridSpan w:val="11"/>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资金性质</w:t>
            </w:r>
          </w:p>
        </w:tc>
      </w:tr>
      <w:tr>
        <w:tblPrEx>
          <w:tblCellMar>
            <w:top w:w="0" w:type="dxa"/>
            <w:left w:w="108" w:type="dxa"/>
            <w:bottom w:w="0" w:type="dxa"/>
            <w:right w:w="108" w:type="dxa"/>
          </w:tblCellMar>
        </w:tblPrEx>
        <w:trPr>
          <w:trHeight w:val="1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EFF2F7" w:fill="EFF2F7"/>
            <w:noWrap/>
            <w:vAlign w:val="center"/>
          </w:tcPr>
          <w:p>
            <w:pPr>
              <w:jc w:val="center"/>
              <w:rPr>
                <w:rFonts w:ascii="宋体" w:hAnsi="宋体" w:cs="宋体"/>
                <w:b/>
                <w:bCs/>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EFF2F7" w:fill="EFF2F7"/>
            <w:noWrap/>
            <w:vAlign w:val="center"/>
          </w:tcPr>
          <w:p>
            <w:pPr>
              <w:jc w:val="center"/>
              <w:rPr>
                <w:rFonts w:ascii="宋体" w:hAnsi="宋体" w:cs="宋体"/>
                <w:b/>
                <w:bCs/>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小计</w:t>
            </w:r>
          </w:p>
        </w:tc>
        <w:tc>
          <w:tcPr>
            <w:tcW w:w="103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上年结转</w:t>
            </w:r>
          </w:p>
        </w:tc>
        <w:tc>
          <w:tcPr>
            <w:tcW w:w="151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一般公共预算</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拨款收入</w:t>
            </w:r>
          </w:p>
        </w:tc>
        <w:tc>
          <w:tcPr>
            <w:tcW w:w="151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政府性基金</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预算拨款收入</w:t>
            </w:r>
          </w:p>
        </w:tc>
        <w:tc>
          <w:tcPr>
            <w:tcW w:w="103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国有资本</w:t>
            </w:r>
          </w:p>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经营预算</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拨款收入</w:t>
            </w:r>
          </w:p>
        </w:tc>
        <w:tc>
          <w:tcPr>
            <w:tcW w:w="151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财政专户</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管理资金收入</w:t>
            </w:r>
          </w:p>
        </w:tc>
        <w:tc>
          <w:tcPr>
            <w:tcW w:w="55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事业</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收入</w:t>
            </w:r>
          </w:p>
        </w:tc>
        <w:tc>
          <w:tcPr>
            <w:tcW w:w="55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上级</w:t>
            </w:r>
          </w:p>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补助</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收入</w:t>
            </w:r>
          </w:p>
        </w:tc>
        <w:tc>
          <w:tcPr>
            <w:tcW w:w="55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附属</w:t>
            </w:r>
          </w:p>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单位</w:t>
            </w:r>
          </w:p>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上缴</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收入</w:t>
            </w:r>
          </w:p>
        </w:tc>
        <w:tc>
          <w:tcPr>
            <w:tcW w:w="55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事业</w:t>
            </w:r>
          </w:p>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单位</w:t>
            </w:r>
          </w:p>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经营</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收入</w:t>
            </w:r>
          </w:p>
        </w:tc>
        <w:tc>
          <w:tcPr>
            <w:tcW w:w="55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其他</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收入</w:t>
            </w:r>
          </w:p>
        </w:tc>
      </w:tr>
      <w:tr>
        <w:tblPrEx>
          <w:tblCellMar>
            <w:top w:w="0" w:type="dxa"/>
            <w:left w:w="108" w:type="dxa"/>
            <w:bottom w:w="0" w:type="dxa"/>
            <w:right w:w="108" w:type="dxa"/>
          </w:tblCellMar>
        </w:tblPrEx>
        <w:trPr>
          <w:trHeight w:val="398"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1,382.68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1,382.68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rPr>
            </w:pPr>
          </w:p>
        </w:tc>
      </w:tr>
      <w:tr>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124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省商务厅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1,382.68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1,382.68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124006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省国际商务促进中心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1,382.68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1,382.68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bl>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tbl>
      <w:tblPr>
        <w:tblStyle w:val="4"/>
        <w:tblW w:w="14310" w:type="dxa"/>
        <w:jc w:val="center"/>
        <w:tblLayout w:type="autofit"/>
        <w:tblCellMar>
          <w:top w:w="0" w:type="dxa"/>
          <w:left w:w="108" w:type="dxa"/>
          <w:bottom w:w="0" w:type="dxa"/>
          <w:right w:w="108" w:type="dxa"/>
        </w:tblCellMar>
      </w:tblPr>
      <w:tblGrid>
        <w:gridCol w:w="923"/>
        <w:gridCol w:w="923"/>
        <w:gridCol w:w="923"/>
        <w:gridCol w:w="3675"/>
        <w:gridCol w:w="1969"/>
        <w:gridCol w:w="1969"/>
        <w:gridCol w:w="1969"/>
        <w:gridCol w:w="1969"/>
      </w:tblGrid>
      <w:tr>
        <w:tblPrEx>
          <w:tblCellMar>
            <w:top w:w="0" w:type="dxa"/>
            <w:left w:w="108" w:type="dxa"/>
            <w:bottom w:w="0" w:type="dxa"/>
            <w:right w:w="108" w:type="dxa"/>
          </w:tblCellMar>
        </w:tblPrEx>
        <w:trPr>
          <w:trHeight w:val="398" w:hRule="atLeast"/>
          <w:jc w:val="center"/>
        </w:trPr>
        <w:tc>
          <w:tcPr>
            <w:tcW w:w="14320" w:type="dxa"/>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textAlignment w:val="center"/>
              <w:rPr>
                <w:rFonts w:ascii="黑体" w:hAnsi="宋体" w:eastAsia="黑体"/>
                <w:b/>
                <w:bCs/>
                <w:color w:val="000000"/>
                <w:sz w:val="32"/>
                <w:szCs w:val="32"/>
              </w:rPr>
            </w:pPr>
            <w:r>
              <w:rPr>
                <w:rFonts w:hint="eastAsia" w:ascii="黑体" w:hAnsi="宋体" w:eastAsia="黑体"/>
                <w:b/>
                <w:bCs/>
                <w:color w:val="000000"/>
                <w:kern w:val="0"/>
                <w:sz w:val="32"/>
                <w:szCs w:val="32"/>
                <w:lang w:bidi="ar"/>
              </w:rPr>
              <w:t>部门支出总表</w:t>
            </w:r>
          </w:p>
        </w:tc>
      </w:tr>
      <w:tr>
        <w:tblPrEx>
          <w:tblCellMar>
            <w:top w:w="0" w:type="dxa"/>
            <w:left w:w="108" w:type="dxa"/>
            <w:bottom w:w="0" w:type="dxa"/>
            <w:right w:w="108" w:type="dxa"/>
          </w:tblCellMar>
        </w:tblPrEx>
        <w:trPr>
          <w:trHeight w:val="341" w:hRule="atLeast"/>
          <w:jc w:val="center"/>
        </w:trPr>
        <w:tc>
          <w:tcPr>
            <w:tcW w:w="923"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923"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923"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367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969"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969"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rPr>
                <w:rFonts w:ascii="宋体" w:hAnsi="宋体" w:cs="宋体"/>
                <w:color w:val="000000"/>
                <w:sz w:val="22"/>
              </w:rPr>
            </w:pPr>
          </w:p>
        </w:tc>
        <w:tc>
          <w:tcPr>
            <w:tcW w:w="1969" w:type="dxa"/>
            <w:tcBorders>
              <w:top w:val="single" w:color="FFFFFF" w:sz="4" w:space="0"/>
              <w:left w:val="single" w:color="FFFFFF" w:sz="4" w:space="0"/>
              <w:bottom w:val="nil"/>
              <w:right w:val="single" w:color="FFFFFF" w:sz="4" w:space="0"/>
            </w:tcBorders>
            <w:shd w:val="clear" w:color="auto" w:fill="auto"/>
            <w:vAlign w:val="center"/>
          </w:tcPr>
          <w:p>
            <w:pPr>
              <w:widowControl/>
              <w:jc w:val="center"/>
              <w:textAlignment w:val="center"/>
              <w:rPr>
                <w:rFonts w:ascii="宋体" w:hAnsi="宋体" w:cs="宋体"/>
                <w:color w:val="000000"/>
                <w:sz w:val="22"/>
              </w:rPr>
            </w:pPr>
            <w:r>
              <w:rPr>
                <w:rFonts w:ascii="宋体" w:hAnsi="宋体" w:cs="宋体"/>
                <w:color w:val="000000"/>
                <w:kern w:val="0"/>
                <w:sz w:val="22"/>
                <w:lang w:bidi="ar"/>
              </w:rPr>
              <w:t>金额单位：万元</w:t>
            </w:r>
          </w:p>
        </w:tc>
      </w:tr>
      <w:tr>
        <w:tblPrEx>
          <w:tblCellMar>
            <w:top w:w="0" w:type="dxa"/>
            <w:left w:w="108" w:type="dxa"/>
            <w:bottom w:w="0" w:type="dxa"/>
            <w:right w:w="108" w:type="dxa"/>
          </w:tblCellMar>
        </w:tblPrEx>
        <w:trPr>
          <w:trHeight w:val="427"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支出功能分类科目</w:t>
            </w:r>
          </w:p>
        </w:tc>
        <w:tc>
          <w:tcPr>
            <w:tcW w:w="7876" w:type="dxa"/>
            <w:gridSpan w:val="4"/>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2024年预算数</w:t>
            </w:r>
          </w:p>
        </w:tc>
      </w:tr>
      <w:tr>
        <w:tblPrEx>
          <w:tblCellMar>
            <w:top w:w="0" w:type="dxa"/>
            <w:left w:w="108" w:type="dxa"/>
            <w:bottom w:w="0" w:type="dxa"/>
            <w:right w:w="108" w:type="dxa"/>
          </w:tblCellMar>
        </w:tblPrEx>
        <w:trPr>
          <w:trHeight w:val="427"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科目名称</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合计</w:t>
            </w:r>
          </w:p>
        </w:tc>
        <w:tc>
          <w:tcPr>
            <w:tcW w:w="3938" w:type="dxa"/>
            <w:gridSpan w:val="2"/>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基本支出</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项目支出</w:t>
            </w:r>
          </w:p>
        </w:tc>
      </w:tr>
      <w:tr>
        <w:tblPrEx>
          <w:tblCellMar>
            <w:top w:w="0" w:type="dxa"/>
            <w:left w:w="108" w:type="dxa"/>
            <w:bottom w:w="0" w:type="dxa"/>
            <w:right w:w="108" w:type="dxa"/>
          </w:tblCellMar>
        </w:tblPrEx>
        <w:trPr>
          <w:trHeight w:val="4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类</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款</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EFF2F7" w:fill="EFF2F7"/>
            <w:noWrap/>
            <w:vAlign w:val="center"/>
          </w:tcPr>
          <w:p>
            <w:pPr>
              <w:jc w:val="center"/>
              <w:rPr>
                <w:rFonts w:ascii="宋体" w:hAnsi="宋体" w:cs="宋体"/>
                <w:b/>
                <w:bCs/>
                <w:color w:val="000000"/>
                <w:sz w:val="22"/>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1969"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人员经费</w:t>
            </w:r>
          </w:p>
        </w:tc>
        <w:tc>
          <w:tcPr>
            <w:tcW w:w="1969"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公用经费</w:t>
            </w:r>
          </w:p>
        </w:tc>
        <w:tc>
          <w:tcPr>
            <w:tcW w:w="1969"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r>
      <w:tr>
        <w:tblPrEx>
          <w:tblCellMar>
            <w:top w:w="0" w:type="dxa"/>
            <w:left w:w="108" w:type="dxa"/>
            <w:bottom w:w="0" w:type="dxa"/>
            <w:right w:w="108" w:type="dxa"/>
          </w:tblCellMar>
        </w:tblPrEx>
        <w:trPr>
          <w:trHeight w:val="39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ascii="宋体" w:hAnsi="宋体" w:cs="宋体"/>
                <w:b/>
                <w:bCs/>
                <w:color w:val="000000"/>
                <w:kern w:val="0"/>
                <w:sz w:val="22"/>
                <w:lang w:bidi="ar"/>
              </w:rPr>
              <w:t>1,382.68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ascii="宋体" w:hAnsi="宋体" w:cs="宋体"/>
                <w:b/>
                <w:bCs/>
                <w:color w:val="000000"/>
                <w:kern w:val="0"/>
                <w:sz w:val="22"/>
                <w:lang w:bidi="ar"/>
              </w:rPr>
              <w:t>372.23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ascii="宋体" w:hAnsi="宋体" w:cs="宋体"/>
                <w:b/>
                <w:bCs/>
                <w:color w:val="000000"/>
                <w:kern w:val="0"/>
                <w:sz w:val="22"/>
                <w:lang w:bidi="ar"/>
              </w:rPr>
              <w:t>77.02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ascii="宋体" w:hAnsi="宋体" w:cs="宋体"/>
                <w:b/>
                <w:bCs/>
                <w:color w:val="000000"/>
                <w:kern w:val="0"/>
                <w:sz w:val="22"/>
                <w:lang w:bidi="ar"/>
              </w:rPr>
              <w:t>933.44</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1,246.12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235.67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933.44</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商贸事务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1,246.12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235.67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933.44</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50</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312.68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235.67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99</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其他商贸事务支出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933.44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933.44</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05</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06</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02</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01</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bl>
    <w:p>
      <w:pPr>
        <w:jc w:val="left"/>
        <w:rPr>
          <w:rFonts w:ascii="黑体" w:hAnsi="黑体" w:eastAsia="黑体"/>
          <w:sz w:val="32"/>
          <w:szCs w:val="32"/>
        </w:rPr>
      </w:pPr>
    </w:p>
    <w:tbl>
      <w:tblPr>
        <w:tblStyle w:val="4"/>
        <w:tblW w:w="15015" w:type="dxa"/>
        <w:jc w:val="center"/>
        <w:tblLayout w:type="autofit"/>
        <w:tblCellMar>
          <w:top w:w="0" w:type="dxa"/>
          <w:left w:w="108" w:type="dxa"/>
          <w:bottom w:w="0" w:type="dxa"/>
          <w:right w:w="108" w:type="dxa"/>
        </w:tblCellMar>
      </w:tblPr>
      <w:tblGrid>
        <w:gridCol w:w="555"/>
        <w:gridCol w:w="5145"/>
        <w:gridCol w:w="1035"/>
        <w:gridCol w:w="885"/>
        <w:gridCol w:w="1590"/>
        <w:gridCol w:w="750"/>
        <w:gridCol w:w="555"/>
        <w:gridCol w:w="1720"/>
        <w:gridCol w:w="555"/>
        <w:gridCol w:w="795"/>
        <w:gridCol w:w="876"/>
        <w:gridCol w:w="555"/>
      </w:tblGrid>
      <w:tr>
        <w:tblPrEx>
          <w:tblCellMar>
            <w:top w:w="0" w:type="dxa"/>
            <w:left w:w="108" w:type="dxa"/>
            <w:bottom w:w="0" w:type="dxa"/>
            <w:right w:w="108" w:type="dxa"/>
          </w:tblCellMar>
        </w:tblPrEx>
        <w:trPr>
          <w:trHeight w:val="398" w:hRule="atLeast"/>
          <w:jc w:val="center"/>
        </w:trPr>
        <w:tc>
          <w:tcPr>
            <w:tcW w:w="15016" w:type="dxa"/>
            <w:gridSpan w:val="12"/>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textAlignment w:val="center"/>
              <w:rPr>
                <w:rFonts w:ascii="黑体" w:hAnsi="宋体" w:eastAsia="黑体"/>
                <w:b/>
                <w:bCs/>
                <w:color w:val="000000"/>
                <w:sz w:val="32"/>
                <w:szCs w:val="32"/>
              </w:rPr>
            </w:pPr>
            <w:r>
              <w:rPr>
                <w:rFonts w:hint="eastAsia" w:ascii="黑体" w:hAnsi="宋体" w:eastAsia="黑体"/>
                <w:b/>
                <w:bCs/>
                <w:color w:val="000000"/>
                <w:kern w:val="0"/>
                <w:sz w:val="32"/>
                <w:szCs w:val="32"/>
                <w:lang w:bidi="ar"/>
              </w:rPr>
              <w:t>项目支出绩效信息表</w:t>
            </w:r>
          </w:p>
        </w:tc>
      </w:tr>
      <w:tr>
        <w:tblPrEx>
          <w:tblCellMar>
            <w:top w:w="0" w:type="dxa"/>
            <w:left w:w="108" w:type="dxa"/>
            <w:bottom w:w="0" w:type="dxa"/>
            <w:right w:w="108" w:type="dxa"/>
          </w:tblCellMar>
        </w:tblPrEx>
        <w:trPr>
          <w:trHeight w:val="341" w:hRule="atLeast"/>
          <w:jc w:val="center"/>
        </w:trPr>
        <w:tc>
          <w:tcPr>
            <w:tcW w:w="55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5145" w:type="dxa"/>
            <w:tcBorders>
              <w:top w:val="single" w:color="FFFFFF" w:sz="4" w:space="0"/>
              <w:left w:val="single" w:color="FFFFFF" w:sz="4" w:space="0"/>
              <w:bottom w:val="nil"/>
              <w:right w:val="single" w:color="FFFFFF" w:sz="4" w:space="0"/>
            </w:tcBorders>
            <w:shd w:val="clear" w:color="auto" w:fill="auto"/>
            <w:vAlign w:val="center"/>
          </w:tcPr>
          <w:p>
            <w:pPr>
              <w:rPr>
                <w:rFonts w:ascii="黑体" w:hAnsi="黑体" w:eastAsia="黑体"/>
                <w:color w:val="000000"/>
                <w:sz w:val="18"/>
                <w:szCs w:val="18"/>
              </w:rPr>
            </w:pPr>
          </w:p>
        </w:tc>
        <w:tc>
          <w:tcPr>
            <w:tcW w:w="1035" w:type="dxa"/>
            <w:tcBorders>
              <w:top w:val="single" w:color="FFFFFF" w:sz="4" w:space="0"/>
              <w:left w:val="single" w:color="FFFFFF" w:sz="4" w:space="0"/>
              <w:bottom w:val="nil"/>
              <w:right w:val="single" w:color="FFFFFF" w:sz="4" w:space="0"/>
            </w:tcBorders>
            <w:shd w:val="clear" w:color="auto" w:fill="auto"/>
            <w:vAlign w:val="center"/>
          </w:tcPr>
          <w:p>
            <w:pPr>
              <w:rPr>
                <w:rFonts w:ascii="黑体" w:hAnsi="黑体" w:eastAsia="黑体"/>
                <w:color w:val="000000"/>
                <w:sz w:val="18"/>
                <w:szCs w:val="18"/>
              </w:rPr>
            </w:pPr>
          </w:p>
        </w:tc>
        <w:tc>
          <w:tcPr>
            <w:tcW w:w="885" w:type="dxa"/>
            <w:tcBorders>
              <w:top w:val="single" w:color="FFFFFF" w:sz="4" w:space="0"/>
              <w:left w:val="single" w:color="FFFFFF" w:sz="4" w:space="0"/>
              <w:bottom w:val="nil"/>
              <w:right w:val="single" w:color="FFFFFF" w:sz="4" w:space="0"/>
            </w:tcBorders>
            <w:shd w:val="clear" w:color="auto" w:fill="auto"/>
            <w:vAlign w:val="center"/>
          </w:tcPr>
          <w:p>
            <w:pPr>
              <w:rPr>
                <w:rFonts w:ascii="黑体" w:hAnsi="黑体" w:eastAsia="黑体"/>
                <w:color w:val="000000"/>
                <w:sz w:val="18"/>
                <w:szCs w:val="18"/>
              </w:rPr>
            </w:pPr>
          </w:p>
        </w:tc>
        <w:tc>
          <w:tcPr>
            <w:tcW w:w="1590" w:type="dxa"/>
            <w:tcBorders>
              <w:top w:val="single" w:color="FFFFFF" w:sz="4" w:space="0"/>
              <w:left w:val="single" w:color="FFFFFF" w:sz="4" w:space="0"/>
              <w:bottom w:val="nil"/>
              <w:right w:val="single" w:color="FFFFFF" w:sz="4" w:space="0"/>
            </w:tcBorders>
            <w:shd w:val="clear" w:color="auto" w:fill="auto"/>
            <w:vAlign w:val="center"/>
          </w:tcPr>
          <w:p>
            <w:pPr>
              <w:rPr>
                <w:rFonts w:ascii="黑体" w:hAnsi="黑体" w:eastAsia="黑体"/>
                <w:color w:val="000000"/>
                <w:sz w:val="18"/>
                <w:szCs w:val="18"/>
              </w:rPr>
            </w:pPr>
          </w:p>
        </w:tc>
        <w:tc>
          <w:tcPr>
            <w:tcW w:w="750" w:type="dxa"/>
            <w:tcBorders>
              <w:top w:val="single" w:color="FFFFFF" w:sz="4" w:space="0"/>
              <w:left w:val="single" w:color="FFFFFF" w:sz="4" w:space="0"/>
              <w:bottom w:val="nil"/>
              <w:right w:val="single" w:color="FFFFFF" w:sz="4" w:space="0"/>
            </w:tcBorders>
            <w:shd w:val="clear" w:color="auto" w:fill="auto"/>
            <w:vAlign w:val="center"/>
          </w:tcPr>
          <w:p>
            <w:pPr>
              <w:jc w:val="center"/>
              <w:rPr>
                <w:rFonts w:ascii="宋体" w:hAnsi="宋体" w:cs="宋体"/>
                <w:color w:val="000000"/>
                <w:sz w:val="22"/>
              </w:rPr>
            </w:pPr>
          </w:p>
        </w:tc>
        <w:tc>
          <w:tcPr>
            <w:tcW w:w="555" w:type="dxa"/>
            <w:tcBorders>
              <w:top w:val="single" w:color="FFFFFF" w:sz="4" w:space="0"/>
              <w:left w:val="single" w:color="FFFFFF" w:sz="4" w:space="0"/>
              <w:bottom w:val="nil"/>
              <w:right w:val="single" w:color="FFFFFF" w:sz="4" w:space="0"/>
            </w:tcBorders>
            <w:shd w:val="clear" w:color="auto" w:fill="auto"/>
            <w:vAlign w:val="center"/>
          </w:tcPr>
          <w:p>
            <w:pPr>
              <w:jc w:val="center"/>
              <w:rPr>
                <w:rFonts w:ascii="宋体" w:hAnsi="宋体" w:cs="宋体"/>
                <w:color w:val="000000"/>
                <w:sz w:val="22"/>
              </w:rPr>
            </w:pPr>
          </w:p>
        </w:tc>
        <w:tc>
          <w:tcPr>
            <w:tcW w:w="4501" w:type="dxa"/>
            <w:gridSpan w:val="5"/>
            <w:tcBorders>
              <w:top w:val="single" w:color="FFFFFF" w:sz="4" w:space="0"/>
              <w:left w:val="single" w:color="FFFFFF" w:sz="4" w:space="0"/>
              <w:bottom w:val="nil"/>
              <w:right w:val="single" w:color="FFFFFF" w:sz="4" w:space="0"/>
            </w:tcBorders>
            <w:shd w:val="clear" w:color="auto" w:fill="auto"/>
            <w:vAlign w:val="center"/>
          </w:tcPr>
          <w:p>
            <w:pPr>
              <w:widowControl/>
              <w:jc w:val="center"/>
              <w:textAlignment w:val="center"/>
              <w:rPr>
                <w:rFonts w:ascii="宋体" w:hAnsi="宋体" w:cs="宋体"/>
                <w:color w:val="000000"/>
                <w:sz w:val="22"/>
              </w:rPr>
            </w:pPr>
            <w:r>
              <w:rPr>
                <w:rFonts w:ascii="宋体" w:hAnsi="宋体" w:cs="宋体"/>
                <w:color w:val="000000"/>
                <w:kern w:val="0"/>
                <w:sz w:val="22"/>
                <w:lang w:bidi="ar"/>
              </w:rPr>
              <w:t>金额单位：万元</w:t>
            </w:r>
          </w:p>
        </w:tc>
      </w:tr>
      <w:tr>
        <w:tblPrEx>
          <w:tblCellMar>
            <w:top w:w="0" w:type="dxa"/>
            <w:left w:w="108" w:type="dxa"/>
            <w:bottom w:w="0" w:type="dxa"/>
            <w:right w:w="108" w:type="dxa"/>
          </w:tblCellMar>
        </w:tblPrEx>
        <w:trPr>
          <w:trHeight w:val="9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单位</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名称</w:t>
            </w:r>
          </w:p>
        </w:tc>
        <w:tc>
          <w:tcPr>
            <w:tcW w:w="514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项目名称</w:t>
            </w:r>
          </w:p>
        </w:tc>
        <w:tc>
          <w:tcPr>
            <w:tcW w:w="103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预算执行</w:t>
            </w:r>
          </w:p>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率权重</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预算数</w:t>
            </w:r>
          </w:p>
        </w:tc>
        <w:tc>
          <w:tcPr>
            <w:tcW w:w="1590"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绩效目标</w:t>
            </w:r>
          </w:p>
        </w:tc>
        <w:tc>
          <w:tcPr>
            <w:tcW w:w="750"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一级</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二级</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三级指标</w:t>
            </w:r>
          </w:p>
        </w:tc>
        <w:tc>
          <w:tcPr>
            <w:tcW w:w="55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绩效</w:t>
            </w:r>
          </w:p>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指标</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性质</w:t>
            </w:r>
          </w:p>
        </w:tc>
        <w:tc>
          <w:tcPr>
            <w:tcW w:w="79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本年</w:t>
            </w:r>
          </w:p>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绩效</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绩效</w:t>
            </w:r>
          </w:p>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度量</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单位</w:t>
            </w:r>
          </w:p>
        </w:tc>
        <w:tc>
          <w:tcPr>
            <w:tcW w:w="55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本年</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权重</w:t>
            </w:r>
          </w:p>
        </w:tc>
      </w:tr>
      <w:tr>
        <w:tblPrEx>
          <w:tblCellMar>
            <w:top w:w="0" w:type="dxa"/>
            <w:left w:w="108" w:type="dxa"/>
            <w:bottom w:w="0" w:type="dxa"/>
            <w:right w:w="108" w:type="dxa"/>
          </w:tblCellMar>
        </w:tblPrEx>
        <w:trPr>
          <w:trHeight w:val="7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124006-省国际商务促进中心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46000021R000000006640-工资奖金津补贴</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233.09</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严格执行相关政策，保障工资及时、足额发放或社保及时、足额缴纳，预算编制科学合理，减少结余资金。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数量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标准执行率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8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社会</w:t>
            </w:r>
          </w:p>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46000021R000000006642-养老保险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31.86</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严格执行相关政策，保障工资及时、足额发放或社保及时、足额缴纳，预算编制科学合理，减少结余资金。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数量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标准执行率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9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社会</w:t>
            </w:r>
          </w:p>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46000021R000000006643-职业年金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63.46</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严格执行相关政策，保障工资及时、足额发放或社保及时、足额缴纳，预算编制科学合理，减少结余资金。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数量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标准执行率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8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社会</w:t>
            </w:r>
          </w:p>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46000021R000000006644-医疗保险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严格执行相关政策，保障工资及时、足额发放或社保及时、足额缴纳，预算编制科学合理，减少结余资金。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数量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标准执行率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8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社会</w:t>
            </w:r>
          </w:p>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46000021R000000006646-失业保险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0.85</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严格执行相关政策，保障工资及时、足额发放或社保及时、足额缴纳，预算编制科学合理，减少结余资金。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数量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标准执行率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8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社会</w:t>
            </w:r>
          </w:p>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46000021R000000006647-工伤保险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0.68</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严格执行相关政策，保障工资及时、足额发放或社保及时、足额缴纳，预算编制科学合理，减少结余资金。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数量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标准执行率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9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社会</w:t>
            </w:r>
          </w:p>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46000021R000000006656-其他工资福利支出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1.05</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严格执行相关政策，保障工资及时、足额发放或社保及时、足额缴纳，预算编制科学合理，减少结余资金。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数量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标准执行率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9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社会</w:t>
            </w:r>
          </w:p>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46000021R000000006663-住房公积金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严格执行相关政策，保障工资及时、足额发放或社保及时、足额缴纳，预算编制科学合理，减少结余资金。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数量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标准执行率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8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效益指</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社会</w:t>
            </w:r>
          </w:p>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46000021Y000000000001-信息系统运行维护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337.30</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对现有的信息系统基础资源进行监控和管理，及时掌握信息系统资源现状和配置信息，反映信息系统资源的可用性情况和健康状况，创建一个可知可控的IT环境，保证信息系统的各类业务应用系统的可靠、高效、持续和安全运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数量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查验和放行指令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万条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w:t>
            </w:r>
          </w:p>
        </w:tc>
      </w:tr>
      <w:tr>
        <w:tblPrEx>
          <w:tblCellMar>
            <w:top w:w="0" w:type="dxa"/>
            <w:left w:w="108" w:type="dxa"/>
            <w:bottom w:w="0" w:type="dxa"/>
            <w:right w:w="108" w:type="dxa"/>
          </w:tblCellMar>
        </w:tblPrEx>
        <w:trPr>
          <w:trHeight w:val="9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数量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单一窗口受理问题数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w:t>
            </w:r>
          </w:p>
        </w:tc>
      </w:tr>
      <w:tr>
        <w:tblPrEx>
          <w:tblCellMar>
            <w:top w:w="0" w:type="dxa"/>
            <w:left w:w="108" w:type="dxa"/>
            <w:bottom w:w="0" w:type="dxa"/>
            <w:right w:w="108" w:type="dxa"/>
          </w:tblCellMar>
        </w:tblPrEx>
        <w:trPr>
          <w:trHeight w:val="8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系统故障率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系统正常使用年限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w:t>
            </w:r>
          </w:p>
        </w:tc>
      </w:tr>
      <w:tr>
        <w:tblPrEx>
          <w:tblCellMar>
            <w:top w:w="0" w:type="dxa"/>
            <w:left w:w="108" w:type="dxa"/>
            <w:bottom w:w="0" w:type="dxa"/>
            <w:right w:w="108" w:type="dxa"/>
          </w:tblCellMar>
        </w:tblPrEx>
        <w:trPr>
          <w:trHeight w:val="8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成本</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经济</w:t>
            </w:r>
          </w:p>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成本</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线路租用成本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r>
      <w:tr>
        <w:tblPrEx>
          <w:tblCellMar>
            <w:top w:w="0" w:type="dxa"/>
            <w:left w:w="108" w:type="dxa"/>
            <w:bottom w:w="0" w:type="dxa"/>
            <w:right w:w="108" w:type="dxa"/>
          </w:tblCellMar>
        </w:tblPrEx>
        <w:trPr>
          <w:trHeight w:val="8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可持</w:t>
            </w:r>
          </w:p>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续影</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响</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游艇视频稳定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46000021Y000000006662-公用支出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77.02</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提高预算编制质量，严格执行预算，保障单位日常运转。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数量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预算编制质量（∣（执行数-预算数）/预算数∣）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r>
      <w:tr>
        <w:tblPrEx>
          <w:tblCellMar>
            <w:top w:w="0" w:type="dxa"/>
            <w:left w:w="108" w:type="dxa"/>
            <w:bottom w:w="0" w:type="dxa"/>
            <w:right w:w="108" w:type="dxa"/>
          </w:tblCellMar>
        </w:tblPrEx>
        <w:trPr>
          <w:trHeight w:val="9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经济</w:t>
            </w:r>
          </w:p>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三公经费控制率（执行数/预算数）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8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社会</w:t>
            </w:r>
          </w:p>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26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46000022T000000623688-免税购物数据认证服务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180.00</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离岛免税航空离岛旅客免税购物数据认证服务费，每年由省商务厅省国际商务促进中心向中国民航总局信息中心分支机构海南民航凯亚有限公司（服务于海南省区域业务的唯一子公司）购买。主要用于购买旅客航空离岛数据服务，该服务是离岛免税旅客购物信息验证的重要组成部分，也是海南离岛旅客免税购物信息系统核验的基础数据服务，用于满足离岛免税旅客购物及提货信息验证及海关数据核销的需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认证服务验收合格次数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r>
      <w:tr>
        <w:tblPrEx>
          <w:tblCellMar>
            <w:top w:w="0" w:type="dxa"/>
            <w:left w:w="108" w:type="dxa"/>
            <w:bottom w:w="0" w:type="dxa"/>
            <w:right w:w="108" w:type="dxa"/>
          </w:tblCellMar>
        </w:tblPrEx>
        <w:trPr>
          <w:trHeight w:val="28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成本</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经济</w:t>
            </w:r>
          </w:p>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成本</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购买服务成本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29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社会</w:t>
            </w:r>
          </w:p>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航空旅客离岛免税购物人次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万人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r>
      <w:tr>
        <w:tblPrEx>
          <w:tblCellMar>
            <w:top w:w="0" w:type="dxa"/>
            <w:left w:w="108" w:type="dxa"/>
            <w:bottom w:w="0" w:type="dxa"/>
            <w:right w:w="108" w:type="dxa"/>
          </w:tblCellMar>
        </w:tblPrEx>
        <w:trPr>
          <w:trHeight w:val="19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46000023Y000000826384-综合运行事务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416.14</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为建设海南自由贸易港提供招商引才政策和新闻宣传窗口，发挥网上招商引才作用，让企业和海内外人才更加方便了解海南自由贸易港的相关优惠政策和优势条件。系统机房用电及机房托管实现信息系统正常运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数量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转载文章量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篇</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数量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原创文章发布量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篇</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9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数量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公众号发布消息数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r>
      <w:tr>
        <w:tblPrEx>
          <w:tblCellMar>
            <w:top w:w="0" w:type="dxa"/>
            <w:left w:w="108" w:type="dxa"/>
            <w:bottom w:w="0" w:type="dxa"/>
            <w:right w:w="108" w:type="dxa"/>
          </w:tblCellMar>
        </w:tblPrEx>
        <w:trPr>
          <w:trHeight w:val="10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社会</w:t>
            </w:r>
          </w:p>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主页点击量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万人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r>
    </w:tbl>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ind w:firstLine="480" w:firstLineChars="150"/>
        <w:rPr>
          <w:rFonts w:ascii="黑体" w:hAnsi="黑体" w:eastAsia="黑体"/>
          <w:sz w:val="32"/>
          <w:szCs w:val="32"/>
        </w:rPr>
        <w:sectPr>
          <w:pgSz w:w="16838" w:h="11906" w:orient="landscape"/>
          <w:pgMar w:top="1800" w:right="1440" w:bottom="1800" w:left="1440" w:header="851" w:footer="992" w:gutter="0"/>
          <w:cols w:space="720" w:num="1"/>
          <w:docGrid w:type="lines" w:linePitch="312" w:charSpace="0"/>
        </w:sectPr>
      </w:pPr>
    </w:p>
    <w:p>
      <w:pPr>
        <w:ind w:firstLine="480" w:firstLineChars="150"/>
        <w:rPr>
          <w:rFonts w:ascii="黑体" w:hAnsi="黑体" w:eastAsia="黑体"/>
          <w:sz w:val="32"/>
          <w:szCs w:val="32"/>
        </w:rPr>
      </w:pPr>
      <w:r>
        <w:rPr>
          <w:rFonts w:hint="eastAsia" w:ascii="黑体" w:hAnsi="黑体" w:eastAsia="黑体"/>
          <w:sz w:val="32"/>
          <w:szCs w:val="32"/>
        </w:rPr>
        <w:t>第三部分   海南省国际商务促进中心2024年预算情况说明</w:t>
      </w:r>
    </w:p>
    <w:p>
      <w:pPr>
        <w:ind w:firstLine="640" w:firstLineChars="200"/>
        <w:jc w:val="left"/>
        <w:rPr>
          <w:rFonts w:ascii="黑体" w:hAnsi="黑体" w:eastAsia="黑体"/>
          <w:sz w:val="32"/>
          <w:szCs w:val="32"/>
        </w:rPr>
      </w:pPr>
      <w:r>
        <w:rPr>
          <w:rFonts w:hint="eastAsia" w:ascii="黑体" w:hAnsi="黑体" w:eastAsia="黑体"/>
          <w:sz w:val="32"/>
          <w:szCs w:val="32"/>
        </w:rPr>
        <w:t>一、关于海南省国际商务促进中心2024年财政拨款收支预算情况的总体说明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海南省国际商务促进中心2024年</w:t>
      </w:r>
      <w:r>
        <w:rPr>
          <w:rFonts w:hint="eastAsia" w:ascii="仿宋_GB2312" w:hAnsi="黑体" w:eastAsia="仿宋_GB2312"/>
          <w:sz w:val="32"/>
          <w:szCs w:val="32"/>
        </w:rPr>
        <w:t>财政拨款收支总预算</w:t>
      </w:r>
      <w:r>
        <w:rPr>
          <w:rFonts w:hint="eastAsia" w:ascii="仿宋_GB2312" w:hAnsi="黑体" w:eastAsia="仿宋_GB2312" w:cs="仿宋_GB2312"/>
          <w:sz w:val="32"/>
          <w:szCs w:val="32"/>
        </w:rPr>
        <w:t>1,382.68万元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减少214.26</w:t>
      </w:r>
      <w:r>
        <w:rPr>
          <w:rFonts w:hint="eastAsia" w:ascii="仿宋_GB2312" w:hAnsi="黑体" w:eastAsia="仿宋_GB2312"/>
          <w:sz w:val="32"/>
          <w:szCs w:val="32"/>
        </w:rPr>
        <w:t>万元，主要是基本支出增加50.3万元，项目支出减少264.56万元。其中，收入总计</w:t>
      </w:r>
      <w:r>
        <w:rPr>
          <w:rFonts w:hint="eastAsia" w:ascii="仿宋_GB2312" w:hAnsi="黑体" w:eastAsia="仿宋_GB2312" w:cs="仿宋_GB2312"/>
          <w:sz w:val="32"/>
          <w:szCs w:val="32"/>
        </w:rPr>
        <w:t>1,382.68</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1,382.68</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1,382.68万元，</w:t>
      </w:r>
      <w:r>
        <w:rPr>
          <w:rFonts w:hint="eastAsia" w:ascii="仿宋_GB2312" w:hAnsi="黑体" w:eastAsia="仿宋_GB2312"/>
          <w:sz w:val="32"/>
          <w:szCs w:val="32"/>
        </w:rPr>
        <w:t>包括一般公共服务支出</w:t>
      </w:r>
      <w:r>
        <w:rPr>
          <w:rFonts w:hint="eastAsia" w:ascii="仿宋_GB2312" w:hAnsi="黑体" w:eastAsia="仿宋_GB2312" w:cs="仿宋_GB2312"/>
          <w:sz w:val="32"/>
          <w:szCs w:val="32"/>
        </w:rPr>
        <w:t>1,246.12</w:t>
      </w:r>
      <w:r>
        <w:rPr>
          <w:rFonts w:hint="eastAsia" w:ascii="仿宋_GB2312" w:hAnsi="黑体" w:eastAsia="仿宋_GB2312"/>
          <w:sz w:val="32"/>
          <w:szCs w:val="32"/>
        </w:rPr>
        <w:t>万元、社会保障和就业支出</w:t>
      </w:r>
      <w:r>
        <w:rPr>
          <w:rFonts w:hint="eastAsia" w:ascii="仿宋_GB2312" w:hAnsi="黑体" w:eastAsia="仿宋_GB2312" w:cs="仿宋_GB2312"/>
          <w:sz w:val="32"/>
          <w:szCs w:val="32"/>
        </w:rPr>
        <w:t>95.32</w:t>
      </w:r>
      <w:r>
        <w:rPr>
          <w:rFonts w:hint="eastAsia" w:ascii="仿宋_GB2312" w:hAnsi="黑体" w:eastAsia="仿宋_GB2312"/>
          <w:sz w:val="32"/>
          <w:szCs w:val="32"/>
        </w:rPr>
        <w:t>万元、卫生健康支出</w:t>
      </w:r>
      <w:r>
        <w:rPr>
          <w:rFonts w:hint="eastAsia" w:ascii="仿宋_GB2312" w:hAnsi="黑体" w:eastAsia="仿宋_GB2312" w:cs="仿宋_GB2312"/>
          <w:sz w:val="32"/>
          <w:szCs w:val="32"/>
        </w:rPr>
        <w:t>14.39</w:t>
      </w:r>
      <w:r>
        <w:rPr>
          <w:rFonts w:hint="eastAsia" w:ascii="仿宋_GB2312" w:hAnsi="黑体" w:eastAsia="仿宋_GB2312"/>
          <w:sz w:val="32"/>
          <w:szCs w:val="32"/>
        </w:rPr>
        <w:t>万元、住房保障支出</w:t>
      </w:r>
      <w:r>
        <w:rPr>
          <w:rFonts w:hint="eastAsia" w:ascii="仿宋_GB2312" w:hAnsi="黑体" w:eastAsia="仿宋_GB2312" w:cs="仿宋_GB2312"/>
          <w:sz w:val="32"/>
          <w:szCs w:val="32"/>
        </w:rPr>
        <w:t>26.85</w:t>
      </w:r>
      <w:r>
        <w:rPr>
          <w:rFonts w:hint="eastAsia" w:ascii="仿宋_GB2312" w:hAnsi="黑体" w:eastAsia="仿宋_GB2312"/>
          <w:sz w:val="32"/>
          <w:szCs w:val="32"/>
        </w:rPr>
        <w:t>万元</w:t>
      </w:r>
      <w:r>
        <w:rPr>
          <w:rFonts w:hint="eastAsia" w:ascii="仿宋_GB2312" w:hAnsi="黑体" w:eastAsia="仿宋_GB2312" w:cs="仿宋_GB2312"/>
          <w:sz w:val="32"/>
          <w:szCs w:val="32"/>
        </w:rPr>
        <w:t>。</w:t>
      </w:r>
    </w:p>
    <w:p>
      <w:pPr>
        <w:ind w:firstLine="640"/>
        <w:jc w:val="left"/>
        <w:rPr>
          <w:rFonts w:ascii="黑体" w:hAnsi="黑体" w:eastAsia="黑体"/>
          <w:sz w:val="32"/>
          <w:szCs w:val="32"/>
        </w:rPr>
      </w:pPr>
      <w:r>
        <w:rPr>
          <w:rFonts w:hint="eastAsia" w:ascii="黑体" w:hAnsi="黑体" w:eastAsia="黑体"/>
          <w:sz w:val="32"/>
          <w:szCs w:val="32"/>
        </w:rPr>
        <w:t>二、关于海南省国际商务促进中心2024年一般公共预算当年拨款情况说明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海南省国际商务促进中心2024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rPr>
        <w:t>1,382.68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减少214.26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：一是人员正常晋升、工资调整和社保公积金基数增加</w:t>
      </w:r>
      <w:r>
        <w:rPr>
          <w:rFonts w:hint="eastAsia" w:ascii="仿宋_GB2312" w:hAnsi="黑体" w:eastAsia="仿宋_GB2312"/>
          <w:sz w:val="32"/>
          <w:szCs w:val="32"/>
          <w:lang w:val="en-US" w:eastAsia="zh-CN"/>
        </w:rPr>
        <w:t>,相应</w:t>
      </w:r>
      <w:r>
        <w:rPr>
          <w:rFonts w:hint="eastAsia" w:ascii="仿宋_GB2312" w:hAnsi="黑体" w:eastAsia="仿宋_GB2312"/>
          <w:sz w:val="32"/>
          <w:szCs w:val="32"/>
          <w:lang w:eastAsia="zh-CN"/>
        </w:rPr>
        <w:t>基本支出增加</w:t>
      </w:r>
      <w:r>
        <w:rPr>
          <w:rFonts w:hint="eastAsia" w:ascii="仿宋_GB2312" w:hAnsi="黑体" w:eastAsia="仿宋_GB2312"/>
          <w:sz w:val="32"/>
          <w:szCs w:val="32"/>
        </w:rPr>
        <w:t>50.3万元</w:t>
      </w:r>
      <w:r>
        <w:rPr>
          <w:rFonts w:hint="eastAsia" w:ascii="仿宋_GB2312" w:hAnsi="黑体" w:eastAsia="仿宋_GB2312"/>
          <w:sz w:val="32"/>
          <w:szCs w:val="32"/>
          <w:lang w:eastAsia="zh-CN"/>
        </w:rPr>
        <w:t>，二是根据</w:t>
      </w:r>
      <w:r>
        <w:rPr>
          <w:rFonts w:hint="eastAsia" w:ascii="仿宋_GB2312" w:hAnsi="黑体" w:eastAsia="仿宋_GB2312"/>
          <w:sz w:val="32"/>
          <w:szCs w:val="32"/>
        </w:rPr>
        <w:t>实际</w:t>
      </w:r>
      <w:r>
        <w:rPr>
          <w:rFonts w:hint="eastAsia" w:ascii="仿宋_GB2312" w:hAnsi="黑体" w:eastAsia="仿宋_GB2312"/>
          <w:sz w:val="32"/>
          <w:szCs w:val="32"/>
          <w:lang w:eastAsia="zh-CN"/>
        </w:rPr>
        <w:t>工作</w:t>
      </w:r>
      <w:r>
        <w:rPr>
          <w:rFonts w:hint="eastAsia" w:ascii="仿宋_GB2312" w:hAnsi="黑体" w:eastAsia="仿宋_GB2312"/>
          <w:sz w:val="32"/>
          <w:szCs w:val="32"/>
        </w:rPr>
        <w:t>需要，信息系统运行维护</w:t>
      </w:r>
      <w:r>
        <w:rPr>
          <w:rFonts w:hint="eastAsia" w:ascii="仿宋_GB2312" w:hAnsi="黑体" w:eastAsia="仿宋_GB2312"/>
          <w:sz w:val="32"/>
          <w:szCs w:val="32"/>
          <w:lang w:eastAsia="zh-CN"/>
        </w:rPr>
        <w:t>项目预算支出减少264.</w:t>
      </w:r>
      <w:r>
        <w:rPr>
          <w:rFonts w:hint="eastAsia" w:ascii="仿宋_GB2312" w:hAnsi="黑体" w:eastAsia="仿宋_GB2312"/>
          <w:sz w:val="32"/>
          <w:szCs w:val="32"/>
        </w:rPr>
        <w:t>56万元。</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一般公共服务（类）支出1246.12</w:t>
      </w:r>
      <w:r>
        <w:rPr>
          <w:rFonts w:hint="eastAsia" w:ascii="仿宋_GB2312" w:hAnsi="黑体" w:eastAsia="仿宋_GB2312"/>
          <w:sz w:val="32"/>
          <w:szCs w:val="32"/>
        </w:rPr>
        <w:t>万元，占</w:t>
      </w:r>
      <w:r>
        <w:rPr>
          <w:rFonts w:hint="eastAsia" w:ascii="仿宋_GB2312" w:hAnsi="黑体" w:eastAsia="仿宋_GB2312" w:cs="仿宋_GB2312"/>
          <w:sz w:val="32"/>
          <w:szCs w:val="32"/>
        </w:rPr>
        <w:t>90.12</w:t>
      </w:r>
      <w:r>
        <w:rPr>
          <w:rFonts w:hint="eastAsia" w:ascii="仿宋_GB2312" w:hAnsi="黑体" w:eastAsia="仿宋_GB2312"/>
          <w:sz w:val="32"/>
          <w:szCs w:val="32"/>
        </w:rPr>
        <w:t>%；社会保障和就业（类）</w:t>
      </w:r>
      <w:r>
        <w:rPr>
          <w:rFonts w:hint="eastAsia" w:ascii="仿宋_GB2312" w:hAnsi="黑体" w:eastAsia="仿宋_GB2312" w:cs="仿宋_GB2312"/>
          <w:sz w:val="32"/>
          <w:szCs w:val="32"/>
        </w:rPr>
        <w:t>支出95.32</w:t>
      </w:r>
      <w:r>
        <w:rPr>
          <w:rFonts w:hint="eastAsia" w:ascii="仿宋_GB2312" w:hAnsi="黑体" w:eastAsia="仿宋_GB2312"/>
          <w:sz w:val="32"/>
          <w:szCs w:val="32"/>
        </w:rPr>
        <w:t>万元，占</w:t>
      </w:r>
      <w:r>
        <w:rPr>
          <w:rFonts w:hint="eastAsia" w:ascii="仿宋_GB2312" w:hAnsi="黑体" w:eastAsia="仿宋_GB2312" w:cs="仿宋_GB2312"/>
          <w:sz w:val="32"/>
          <w:szCs w:val="32"/>
        </w:rPr>
        <w:t>6.89</w:t>
      </w:r>
      <w:r>
        <w:rPr>
          <w:rFonts w:hint="eastAsia" w:ascii="仿宋_GB2312" w:hAnsi="黑体" w:eastAsia="仿宋_GB2312"/>
          <w:sz w:val="32"/>
          <w:szCs w:val="32"/>
        </w:rPr>
        <w:t>%；卫生健康（类）</w:t>
      </w:r>
      <w:r>
        <w:rPr>
          <w:rFonts w:hint="eastAsia" w:ascii="仿宋_GB2312" w:hAnsi="黑体" w:eastAsia="仿宋_GB2312" w:cs="仿宋_GB2312"/>
          <w:sz w:val="32"/>
          <w:szCs w:val="32"/>
        </w:rPr>
        <w:t>支出14.39</w:t>
      </w:r>
      <w:r>
        <w:rPr>
          <w:rFonts w:hint="eastAsia" w:ascii="仿宋_GB2312" w:hAnsi="黑体" w:eastAsia="仿宋_GB2312"/>
          <w:sz w:val="32"/>
          <w:szCs w:val="32"/>
        </w:rPr>
        <w:t>万元，占</w:t>
      </w:r>
      <w:r>
        <w:rPr>
          <w:rFonts w:hint="eastAsia" w:ascii="仿宋_GB2312" w:hAnsi="黑体" w:eastAsia="仿宋_GB2312" w:cs="仿宋_GB2312"/>
          <w:sz w:val="32"/>
          <w:szCs w:val="32"/>
        </w:rPr>
        <w:t>1.04</w:t>
      </w:r>
      <w:r>
        <w:rPr>
          <w:rFonts w:hint="eastAsia" w:ascii="仿宋_GB2312" w:hAnsi="黑体" w:eastAsia="仿宋_GB2312"/>
          <w:sz w:val="32"/>
          <w:szCs w:val="32"/>
        </w:rPr>
        <w:t>%；住房保障支出（类）</w:t>
      </w:r>
      <w:r>
        <w:rPr>
          <w:rFonts w:hint="eastAsia" w:ascii="仿宋_GB2312" w:hAnsi="黑体" w:eastAsia="仿宋_GB2312" w:cs="仿宋_GB2312"/>
          <w:sz w:val="32"/>
          <w:szCs w:val="32"/>
        </w:rPr>
        <w:t>支出26.85</w:t>
      </w:r>
      <w:r>
        <w:rPr>
          <w:rFonts w:hint="eastAsia" w:ascii="仿宋_GB2312" w:hAnsi="黑体" w:eastAsia="仿宋_GB2312"/>
          <w:sz w:val="32"/>
          <w:szCs w:val="32"/>
        </w:rPr>
        <w:t>万元，占</w:t>
      </w:r>
      <w:r>
        <w:rPr>
          <w:rFonts w:hint="eastAsia" w:ascii="仿宋_GB2312" w:hAnsi="黑体" w:eastAsia="仿宋_GB2312" w:cs="仿宋_GB2312"/>
          <w:sz w:val="32"/>
          <w:szCs w:val="32"/>
        </w:rPr>
        <w:t>1.95</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1.一般公共服务（类）商贸事务（款）事业运行（项）2024</w:t>
      </w:r>
      <w:r>
        <w:rPr>
          <w:rFonts w:hint="eastAsia" w:ascii="仿宋_GB2312" w:hAnsi="黑体" w:eastAsia="仿宋_GB2312"/>
          <w:sz w:val="32"/>
          <w:szCs w:val="32"/>
        </w:rPr>
        <w:t>年预算数为312.68万元，</w:t>
      </w:r>
      <w:r>
        <w:rPr>
          <w:rFonts w:hint="eastAsia" w:ascii="仿宋_GB2312" w:hAnsi="黑体" w:eastAsia="仿宋_GB2312" w:cs="仿宋_GB2312"/>
          <w:sz w:val="32"/>
          <w:szCs w:val="32"/>
        </w:rPr>
        <w:t>比上年预算数增加24.56万元，主要是人员</w:t>
      </w:r>
      <w:r>
        <w:rPr>
          <w:rFonts w:hint="eastAsia" w:ascii="仿宋_GB2312" w:hAnsi="黑体" w:eastAsia="仿宋_GB2312" w:cs="仿宋_GB2312"/>
          <w:sz w:val="32"/>
          <w:szCs w:val="32"/>
          <w:lang w:eastAsia="zh-CN"/>
        </w:rPr>
        <w:t>正常晋升和工资</w:t>
      </w:r>
      <w:r>
        <w:rPr>
          <w:rFonts w:hint="eastAsia" w:ascii="仿宋_GB2312" w:hAnsi="黑体" w:eastAsia="仿宋_GB2312" w:cs="仿宋_GB2312"/>
          <w:sz w:val="32"/>
          <w:szCs w:val="32"/>
        </w:rPr>
        <w:t>调整</w:t>
      </w:r>
      <w:r>
        <w:rPr>
          <w:rFonts w:hint="eastAsia" w:ascii="仿宋_GB2312" w:hAnsi="黑体" w:eastAsia="仿宋_GB2312" w:cs="仿宋_GB2312"/>
          <w:sz w:val="32"/>
          <w:szCs w:val="32"/>
          <w:lang w:eastAsia="zh-CN"/>
        </w:rPr>
        <w:t>，相应</w:t>
      </w:r>
      <w:r>
        <w:rPr>
          <w:rFonts w:hint="eastAsia" w:ascii="仿宋_GB2312" w:hAnsi="黑体" w:eastAsia="仿宋_GB2312" w:cs="仿宋_GB2312"/>
          <w:sz w:val="32"/>
          <w:szCs w:val="32"/>
        </w:rPr>
        <w:t>增加了</w:t>
      </w:r>
      <w:r>
        <w:rPr>
          <w:rFonts w:hint="eastAsia" w:ascii="仿宋_GB2312" w:hAnsi="黑体" w:eastAsia="仿宋_GB2312" w:cs="仿宋_GB2312"/>
          <w:sz w:val="32"/>
          <w:szCs w:val="32"/>
          <w:lang w:eastAsia="zh-CN"/>
        </w:rPr>
        <w:t>基本</w:t>
      </w:r>
      <w:r>
        <w:rPr>
          <w:rFonts w:hint="eastAsia" w:ascii="仿宋_GB2312" w:hAnsi="黑体" w:eastAsia="仿宋_GB2312" w:cs="仿宋_GB2312"/>
          <w:sz w:val="32"/>
          <w:szCs w:val="32"/>
        </w:rPr>
        <w:t>支出</w:t>
      </w:r>
      <w:r>
        <w:rPr>
          <w:rFonts w:hint="eastAsia" w:ascii="仿宋_GB2312" w:hAnsi="黑体" w:eastAsia="仿宋_GB2312"/>
          <w:sz w:val="32"/>
          <w:szCs w:val="32"/>
        </w:rPr>
        <w:t>。</w:t>
      </w:r>
    </w:p>
    <w:p>
      <w:pPr>
        <w:ind w:firstLine="640" w:firstLineChars="200"/>
        <w:rPr>
          <w:rFonts w:ascii="仿宋_GB2312" w:hAnsi="黑体" w:eastAsia="仿宋_GB2312" w:cs="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一般公共服务（类）商贸事务（款）其他商贸事务（项）2024年预算数为933.44万元，比上年预算数减少264.56万元，主要是</w:t>
      </w:r>
      <w:r>
        <w:rPr>
          <w:rFonts w:hint="eastAsia" w:ascii="仿宋_GB2312" w:hAnsi="黑体" w:eastAsia="仿宋_GB2312" w:cs="仿宋_GB2312"/>
          <w:sz w:val="32"/>
          <w:szCs w:val="32"/>
          <w:lang w:eastAsia="zh-CN"/>
        </w:rPr>
        <w:t>根据</w:t>
      </w:r>
      <w:r>
        <w:rPr>
          <w:rFonts w:hint="eastAsia" w:ascii="仿宋_GB2312" w:hAnsi="黑体" w:eastAsia="仿宋_GB2312"/>
          <w:sz w:val="32"/>
          <w:szCs w:val="32"/>
        </w:rPr>
        <w:t>实际</w:t>
      </w:r>
      <w:r>
        <w:rPr>
          <w:rFonts w:hint="eastAsia" w:ascii="仿宋_GB2312" w:hAnsi="黑体" w:eastAsia="仿宋_GB2312"/>
          <w:sz w:val="32"/>
          <w:szCs w:val="32"/>
          <w:lang w:eastAsia="zh-CN"/>
        </w:rPr>
        <w:t>工作</w:t>
      </w:r>
      <w:r>
        <w:rPr>
          <w:rFonts w:hint="eastAsia" w:ascii="仿宋_GB2312" w:hAnsi="黑体" w:eastAsia="仿宋_GB2312"/>
          <w:sz w:val="32"/>
          <w:szCs w:val="32"/>
        </w:rPr>
        <w:t>需要，信息系统运行维护</w:t>
      </w:r>
      <w:r>
        <w:rPr>
          <w:rFonts w:hint="eastAsia" w:ascii="仿宋_GB2312" w:hAnsi="黑体" w:eastAsia="仿宋_GB2312"/>
          <w:sz w:val="32"/>
          <w:szCs w:val="32"/>
          <w:lang w:eastAsia="zh-CN"/>
        </w:rPr>
        <w:t>项目预算支出减少264.</w:t>
      </w:r>
      <w:r>
        <w:rPr>
          <w:rFonts w:hint="eastAsia" w:ascii="仿宋_GB2312" w:hAnsi="黑体" w:eastAsia="仿宋_GB2312"/>
          <w:sz w:val="32"/>
          <w:szCs w:val="32"/>
        </w:rPr>
        <w:t>56万元</w:t>
      </w:r>
      <w:r>
        <w:rPr>
          <w:rFonts w:hint="eastAsia" w:ascii="仿宋_GB2312" w:hAnsi="黑体" w:eastAsia="仿宋_GB2312" w:cs="仿宋_GB2312"/>
          <w:sz w:val="32"/>
          <w:szCs w:val="32"/>
        </w:rPr>
        <w:t>。</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3. 社会保障和就业支出（类）行政事业单位养老支出（款）机关事业单位基本养老保险缴费支出（项）2024年预算数为31.86万元，比上年预算数增加3.49万元，按照养老保险制度缴纳的基本养老保险支出，主要是</w:t>
      </w:r>
      <w:r>
        <w:rPr>
          <w:rFonts w:hint="eastAsia" w:ascii="仿宋_GB2312" w:hAnsi="黑体" w:eastAsia="仿宋_GB2312" w:cs="仿宋_GB2312"/>
          <w:sz w:val="32"/>
          <w:szCs w:val="32"/>
          <w:lang w:eastAsia="zh-CN"/>
        </w:rPr>
        <w:t>人员</w:t>
      </w:r>
      <w:r>
        <w:rPr>
          <w:rFonts w:hint="eastAsia" w:ascii="仿宋_GB2312" w:hAnsi="黑体" w:eastAsia="仿宋_GB2312" w:cs="仿宋_GB2312"/>
          <w:sz w:val="32"/>
          <w:szCs w:val="32"/>
        </w:rPr>
        <w:t>工资变动、养老保险基数变动导致养老保险支出增加。</w:t>
      </w:r>
    </w:p>
    <w:p>
      <w:pPr>
        <w:ind w:firstLine="640" w:firstLineChars="200"/>
        <w:rPr>
          <w:rFonts w:ascii="仿宋_GB2312" w:hAnsi="黑体" w:eastAsia="仿宋_GB2312" w:cs="仿宋_GB2312"/>
          <w:sz w:val="32"/>
          <w:szCs w:val="32"/>
        </w:rPr>
      </w:pPr>
      <w:r>
        <w:rPr>
          <w:rFonts w:hint="eastAsia" w:ascii="仿宋_GB2312" w:hAnsi="黑体" w:eastAsia="仿宋_GB2312"/>
          <w:sz w:val="32"/>
          <w:szCs w:val="32"/>
        </w:rPr>
        <w:t>4.</w:t>
      </w:r>
      <w:r>
        <w:rPr>
          <w:rFonts w:hint="eastAsia" w:ascii="仿宋_GB2312" w:hAnsi="黑体" w:eastAsia="仿宋_GB2312" w:cs="仿宋_GB2312"/>
          <w:sz w:val="32"/>
          <w:szCs w:val="32"/>
        </w:rPr>
        <w:t xml:space="preserve"> 社会保障和就业支出（类）行政事业单位养老支出（款）机关事业单位职业年金缴费支出（项）2024年预算数为63.46万元，比上年预算数增加17.73万元，</w:t>
      </w:r>
      <w:r>
        <w:rPr>
          <w:rFonts w:hint="eastAsia" w:ascii="仿宋_GB2312" w:hAnsi="黑体" w:eastAsia="仿宋_GB2312"/>
          <w:sz w:val="32"/>
        </w:rPr>
        <w:t>主要</w:t>
      </w:r>
      <w:r>
        <w:rPr>
          <w:rFonts w:hint="eastAsia" w:ascii="仿宋_GB2312" w:hAnsi="黑体" w:eastAsia="仿宋_GB2312"/>
          <w:sz w:val="32"/>
          <w:lang w:eastAsia="zh-CN"/>
        </w:rPr>
        <w:t>上：一</w:t>
      </w:r>
      <w:r>
        <w:rPr>
          <w:rFonts w:hint="eastAsia" w:ascii="仿宋_GB2312" w:hAnsi="黑体" w:eastAsia="仿宋_GB2312"/>
          <w:sz w:val="32"/>
        </w:rPr>
        <w:t>是</w:t>
      </w:r>
      <w:r>
        <w:rPr>
          <w:rFonts w:hint="eastAsia" w:ascii="仿宋_GB2312" w:hAnsi="黑体" w:eastAsia="仿宋_GB2312"/>
          <w:sz w:val="32"/>
          <w:lang w:eastAsia="zh-CN"/>
        </w:rPr>
        <w:t>人员工资变动导致职业年金基数增加，二是</w:t>
      </w:r>
      <w:r>
        <w:rPr>
          <w:rFonts w:hint="eastAsia" w:ascii="仿宋_GB2312" w:hAnsi="黑体" w:eastAsia="仿宋_GB2312"/>
          <w:sz w:val="32"/>
        </w:rPr>
        <w:t>单位</w:t>
      </w:r>
      <w:r>
        <w:rPr>
          <w:rFonts w:hint="eastAsia" w:ascii="仿宋_GB2312" w:hAnsi="黑体" w:eastAsia="仿宋_GB2312"/>
          <w:sz w:val="32"/>
          <w:lang w:val="en-US" w:eastAsia="zh-CN"/>
        </w:rPr>
        <w:t>2019年至2021年</w:t>
      </w:r>
      <w:r>
        <w:rPr>
          <w:rFonts w:hint="eastAsia" w:ascii="仿宋_GB2312" w:hAnsi="黑体" w:eastAsia="仿宋_GB2312"/>
          <w:sz w:val="32"/>
        </w:rPr>
        <w:t>职业年金虚账做实，</w:t>
      </w:r>
      <w:r>
        <w:rPr>
          <w:rFonts w:hint="eastAsia" w:ascii="仿宋_GB2312" w:hAnsi="黑体" w:eastAsia="仿宋_GB2312"/>
          <w:sz w:val="32"/>
          <w:lang w:eastAsia="zh-CN"/>
        </w:rPr>
        <w:t>相应</w:t>
      </w:r>
      <w:r>
        <w:rPr>
          <w:rFonts w:hint="eastAsia" w:ascii="仿宋_GB2312" w:hAnsi="黑体" w:eastAsia="仿宋_GB2312"/>
          <w:sz w:val="32"/>
        </w:rPr>
        <w:t>增加职业年金</w:t>
      </w:r>
      <w:r>
        <w:rPr>
          <w:rFonts w:hint="eastAsia" w:ascii="仿宋_GB2312" w:hAnsi="黑体" w:eastAsia="仿宋_GB2312"/>
          <w:sz w:val="32"/>
          <w:lang w:eastAsia="zh-CN"/>
        </w:rPr>
        <w:t>支出</w:t>
      </w:r>
      <w:r>
        <w:rPr>
          <w:rFonts w:hint="eastAsia" w:ascii="仿宋_GB2312" w:hAnsi="黑体" w:eastAsia="仿宋_GB2312"/>
          <w:sz w:val="32"/>
        </w:rPr>
        <w:t>。</w:t>
      </w:r>
    </w:p>
    <w:p>
      <w:pPr>
        <w:ind w:firstLine="640" w:firstLineChars="200"/>
        <w:rPr>
          <w:rFonts w:ascii="仿宋_GB2312" w:hAnsi="黑体" w:eastAsia="仿宋_GB2312" w:cs="仿宋_GB2312"/>
          <w:sz w:val="32"/>
          <w:szCs w:val="32"/>
        </w:rPr>
      </w:pPr>
      <w:r>
        <w:rPr>
          <w:rFonts w:hint="eastAsia" w:ascii="仿宋_GB2312" w:hAnsi="黑体" w:eastAsia="仿宋_GB2312"/>
          <w:sz w:val="32"/>
          <w:szCs w:val="32"/>
        </w:rPr>
        <w:t>5.</w:t>
      </w:r>
      <w:r>
        <w:rPr>
          <w:rFonts w:hint="eastAsia" w:ascii="仿宋_GB2312" w:hAnsi="黑体" w:eastAsia="仿宋_GB2312" w:cs="仿宋_GB2312"/>
          <w:sz w:val="32"/>
          <w:szCs w:val="32"/>
        </w:rPr>
        <w:t xml:space="preserve"> 卫生健康支出（类）行政事业单位医疗（款）事业单位医疗（项）2024</w:t>
      </w:r>
      <w:r>
        <w:rPr>
          <w:rFonts w:hint="eastAsia" w:ascii="仿宋_GB2312" w:hAnsi="黑体" w:eastAsia="仿宋_GB2312"/>
          <w:sz w:val="32"/>
          <w:szCs w:val="32"/>
        </w:rPr>
        <w:t>年预算数为14.39万元</w:t>
      </w:r>
      <w:r>
        <w:rPr>
          <w:rFonts w:hint="eastAsia" w:ascii="仿宋_GB2312" w:hAnsi="黑体" w:eastAsia="仿宋_GB2312" w:cs="仿宋_GB2312"/>
          <w:sz w:val="32"/>
          <w:szCs w:val="32"/>
        </w:rPr>
        <w:t>，比上年预算数增加1.86万元，职工工资</w:t>
      </w:r>
      <w:r>
        <w:rPr>
          <w:rFonts w:hint="eastAsia" w:ascii="仿宋_GB2312" w:hAnsi="黑体" w:eastAsia="仿宋_GB2312" w:cs="仿宋_GB2312"/>
          <w:sz w:val="32"/>
          <w:szCs w:val="32"/>
          <w:lang w:eastAsia="zh-CN"/>
        </w:rPr>
        <w:t>和</w:t>
      </w:r>
      <w:r>
        <w:rPr>
          <w:rFonts w:hint="eastAsia" w:ascii="仿宋_GB2312" w:hAnsi="黑体" w:eastAsia="仿宋_GB2312" w:cs="仿宋_GB2312"/>
          <w:sz w:val="32"/>
          <w:szCs w:val="32"/>
        </w:rPr>
        <w:t>医疗保险基数变动</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增加医疗保险支出</w:t>
      </w:r>
      <w:r>
        <w:rPr>
          <w:rFonts w:hint="eastAsia" w:ascii="仿宋_GB2312" w:hAnsi="黑体" w:eastAsia="仿宋_GB2312"/>
          <w:sz w:val="32"/>
        </w:rPr>
        <w:t>。</w:t>
      </w:r>
    </w:p>
    <w:p>
      <w:pPr>
        <w:ind w:firstLine="640" w:firstLineChars="200"/>
        <w:rPr>
          <w:rFonts w:ascii="仿宋_GB2312" w:hAnsi="黑体" w:eastAsia="仿宋_GB2312" w:cs="仿宋_GB2312"/>
          <w:sz w:val="32"/>
          <w:szCs w:val="32"/>
        </w:rPr>
      </w:pPr>
      <w:r>
        <w:rPr>
          <w:rFonts w:hint="eastAsia" w:ascii="仿宋_GB2312" w:hAnsi="黑体" w:eastAsia="仿宋_GB2312"/>
          <w:sz w:val="32"/>
          <w:szCs w:val="32"/>
        </w:rPr>
        <w:t>6.</w:t>
      </w:r>
      <w:r>
        <w:rPr>
          <w:rFonts w:hint="eastAsia" w:ascii="仿宋_GB2312" w:hAnsi="黑体" w:eastAsia="仿宋_GB2312" w:cs="仿宋_GB2312"/>
          <w:sz w:val="32"/>
          <w:szCs w:val="32"/>
        </w:rPr>
        <w:t xml:space="preserve"> 住房保障支出（类）住房改革支出（款）住房公积金（项）2024</w:t>
      </w:r>
      <w:r>
        <w:rPr>
          <w:rFonts w:hint="eastAsia" w:ascii="仿宋_GB2312" w:hAnsi="黑体" w:eastAsia="仿宋_GB2312"/>
          <w:sz w:val="32"/>
          <w:szCs w:val="32"/>
        </w:rPr>
        <w:t>年预算数为26.58万元，</w:t>
      </w:r>
      <w:r>
        <w:rPr>
          <w:rFonts w:hint="eastAsia" w:ascii="仿宋_GB2312" w:hAnsi="黑体" w:eastAsia="仿宋_GB2312" w:cs="仿宋_GB2312"/>
          <w:sz w:val="32"/>
          <w:szCs w:val="32"/>
        </w:rPr>
        <w:t>比上年预算数增加2.66万元，主要是用于单位按人力资源和社会保障部、财政部规定的基本工资和津贴补贴以及规定比例为在职职工缴纳的住房公积金预算，</w:t>
      </w:r>
      <w:r>
        <w:rPr>
          <w:rFonts w:hint="eastAsia" w:ascii="仿宋_GB2312" w:hAnsi="黑体" w:eastAsia="仿宋_GB2312"/>
          <w:sz w:val="32"/>
        </w:rPr>
        <w:t>主要是</w:t>
      </w:r>
      <w:r>
        <w:rPr>
          <w:rFonts w:hint="eastAsia" w:ascii="仿宋_GB2312" w:hAnsi="黑体" w:eastAsia="仿宋_GB2312"/>
          <w:sz w:val="32"/>
          <w:lang w:eastAsia="zh-CN"/>
        </w:rPr>
        <w:t>人员正常晋升</w:t>
      </w:r>
      <w:r>
        <w:rPr>
          <w:rFonts w:hint="eastAsia" w:ascii="仿宋_GB2312" w:hAnsi="黑体" w:eastAsia="仿宋_GB2312"/>
          <w:sz w:val="32"/>
        </w:rPr>
        <w:t>导致公积金基数增加。</w:t>
      </w:r>
    </w:p>
    <w:p>
      <w:pPr>
        <w:ind w:firstLine="640"/>
        <w:rPr>
          <w:rFonts w:ascii="黑体" w:hAnsi="黑体" w:eastAsia="黑体"/>
          <w:sz w:val="32"/>
          <w:szCs w:val="32"/>
        </w:rPr>
      </w:pPr>
      <w:r>
        <w:rPr>
          <w:rFonts w:hint="eastAsia" w:ascii="黑体" w:hAnsi="黑体" w:eastAsia="黑体"/>
          <w:sz w:val="32"/>
          <w:szCs w:val="32"/>
        </w:rPr>
        <w:t>三、关于海南省国际商务促进中心2024年一般公共预算基本支出情况说明</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海南省国际商务促进中心2024</w:t>
      </w:r>
      <w:r>
        <w:rPr>
          <w:rFonts w:hint="eastAsia" w:ascii="仿宋_GB2312" w:hAnsi="黑体" w:eastAsia="仿宋_GB2312"/>
          <w:sz w:val="32"/>
          <w:szCs w:val="32"/>
        </w:rPr>
        <w:t>年一般公共预算基本支出为449.24万元，其中：</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人员经费372.23元，主要包括：基本工资、津贴补贴、绩效工资、机关事业单位基本养老缴费、职业年金缴费、职工基本医疗保险缴费、其他社会保障缴费、住房公积金、医疗费、其他工资福利支出、邮电费;</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77.02万元，主要包括：办公费、印刷费、咨询费、水费、电费、物业管理费、差旅费、（护）费、培训费、公务接待费、劳务费、其他工资福利支出、工会经费、公务用车运行维护费、其他商品和服务支出、其他对个人和家庭的补助、办公设备购置。</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海南省国际商务促进中心2024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cs="仿宋_GB2312"/>
          <w:sz w:val="32"/>
          <w:szCs w:val="32"/>
        </w:rPr>
        <w:t>海南省国际商务促进中心2024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rPr>
        <w:t>7.95</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Times New Roman" w:hAnsi="Times New Roman" w:eastAsia="仿宋_GB2312" w:cs="Times New Roman"/>
          <w:sz w:val="32"/>
          <w:shd w:val="clear" w:color="auto" w:fill="FFFFFF"/>
        </w:rPr>
        <w:t>7.65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rPr>
        <w:t>7.65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rPr>
        <w:t>按照公务车运行维护费标准支出</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rPr>
        <w:t>3辆，计划购置0辆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0.3</w:t>
      </w:r>
      <w:r>
        <w:rPr>
          <w:rFonts w:ascii="Times New Roman" w:hAnsi="Times New Roman" w:eastAsia="仿宋_GB2312" w:cs="Times New Roman"/>
          <w:sz w:val="32"/>
          <w:shd w:val="clear" w:color="auto" w:fill="FFFFFF"/>
        </w:rPr>
        <w:t>万元</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hint="eastAsia" w:ascii="仿宋_GB2312" w:hAnsi="黑体" w:eastAsia="仿宋_GB2312"/>
          <w:sz w:val="32"/>
          <w:szCs w:val="32"/>
        </w:rPr>
        <w:t>根据工作需要</w:t>
      </w:r>
      <w:r>
        <w:rPr>
          <w:rFonts w:hint="eastAsia" w:ascii="仿宋_GB2312" w:hAnsi="仿宋_GB2312" w:eastAsia="仿宋_GB2312" w:cs="仿宋_GB2312"/>
          <w:sz w:val="32"/>
        </w:rPr>
        <w:t>计划接待2批20人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cs="仿宋_GB2312"/>
          <w:sz w:val="32"/>
          <w:szCs w:val="32"/>
        </w:rPr>
        <w:t>海南省国际商务促进中心2024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主要原因：</w:t>
      </w:r>
      <w:r>
        <w:rPr>
          <w:rFonts w:hint="eastAsia" w:ascii="Times New Roman" w:hAnsi="Times New Roman" w:eastAsia="仿宋_GB2312" w:cs="Times New Roman"/>
          <w:sz w:val="32"/>
          <w:shd w:val="clear" w:color="auto" w:fill="FFFFFF"/>
        </w:rPr>
        <w:t>没有政府性基金收支预算</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rPr>
        <w:t>0辆，计划购置0辆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主要原因：</w:t>
      </w:r>
      <w:r>
        <w:rPr>
          <w:rFonts w:hint="eastAsia" w:ascii="Times New Roman" w:hAnsi="Times New Roman" w:eastAsia="仿宋_GB2312" w:cs="Times New Roman"/>
          <w:sz w:val="32"/>
          <w:shd w:val="clear" w:color="auto" w:fill="FFFFFF"/>
        </w:rPr>
        <w:t>没有政府性基金收支预算。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rPr>
        <w:t>海南省国际商务促进中心2024</w:t>
      </w:r>
      <w:r>
        <w:rPr>
          <w:rFonts w:ascii="黑体" w:hAnsi="黑体" w:eastAsia="黑体" w:cs="Times New Roman"/>
          <w:sz w:val="32"/>
          <w:shd w:val="clear" w:color="auto" w:fill="FFFFFF"/>
        </w:rPr>
        <w:t>年年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海南省国际商务促进中心2024年政府性基金预算当年拨款</w:t>
      </w:r>
      <w:r>
        <w:rPr>
          <w:rFonts w:hint="eastAsia" w:ascii="仿宋_GB2312" w:hAnsi="黑体" w:eastAsia="仿宋_GB2312" w:cs="仿宋_GB2312"/>
          <w:sz w:val="32"/>
          <w:szCs w:val="32"/>
        </w:rPr>
        <w:t>0</w:t>
      </w:r>
      <w:r>
        <w:rPr>
          <w:rFonts w:hint="eastAsia" w:ascii="仿宋_GB2312" w:hAnsi="黑体" w:eastAsia="仿宋_GB2312"/>
          <w:sz w:val="32"/>
          <w:szCs w:val="32"/>
        </w:rPr>
        <w:t>万元，与上年持平，</w:t>
      </w:r>
      <w:r>
        <w:rPr>
          <w:rFonts w:ascii="Times New Roman" w:hAnsi="Times New Roman" w:eastAsia="仿宋_GB2312" w:cs="Times New Roman"/>
          <w:sz w:val="32"/>
          <w:shd w:val="clear" w:color="auto" w:fill="FFFFFF"/>
        </w:rPr>
        <w:t>主要原因：</w:t>
      </w:r>
      <w:r>
        <w:rPr>
          <w:rFonts w:hint="eastAsia" w:ascii="Times New Roman" w:hAnsi="Times New Roman" w:eastAsia="仿宋_GB2312" w:cs="Times New Roman"/>
          <w:sz w:val="32"/>
          <w:shd w:val="clear" w:color="auto" w:fill="FFFFFF"/>
        </w:rPr>
        <w:t>没有政府性基金收支预算</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科学技术支出（类）支出0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 科学技术支出（类）核电站乏燃料处理处置基金支出（款）乏燃料运输（项）2024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万元，与上年持平，</w:t>
      </w:r>
      <w:r>
        <w:rPr>
          <w:rFonts w:ascii="Times New Roman" w:hAnsi="Times New Roman" w:eastAsia="仿宋_GB2312" w:cs="Times New Roman"/>
          <w:sz w:val="32"/>
          <w:shd w:val="clear" w:color="auto" w:fill="FFFFFF"/>
        </w:rPr>
        <w:t>主要原因：</w:t>
      </w:r>
      <w:r>
        <w:rPr>
          <w:rFonts w:hint="eastAsia" w:ascii="Times New Roman" w:hAnsi="Times New Roman" w:eastAsia="仿宋_GB2312" w:cs="Times New Roman"/>
          <w:sz w:val="32"/>
          <w:shd w:val="clear" w:color="auto" w:fill="FFFFFF"/>
        </w:rPr>
        <w:t>没有政府性基金收支预算</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科学技术支出（类）核电站乏燃料处理处置基金支出（款）乏燃料离堆贮存（项）2024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万元，与上年持平，</w:t>
      </w:r>
      <w:r>
        <w:rPr>
          <w:rFonts w:ascii="Times New Roman" w:hAnsi="Times New Roman" w:eastAsia="仿宋_GB2312" w:cs="Times New Roman"/>
          <w:sz w:val="32"/>
          <w:shd w:val="clear" w:color="auto" w:fill="FFFFFF"/>
        </w:rPr>
        <w:t>主要原因：</w:t>
      </w:r>
      <w:r>
        <w:rPr>
          <w:rFonts w:hint="eastAsia" w:ascii="Times New Roman" w:hAnsi="Times New Roman" w:eastAsia="仿宋_GB2312" w:cs="Times New Roman"/>
          <w:sz w:val="32"/>
          <w:shd w:val="clear" w:color="auto" w:fill="FFFFFF"/>
        </w:rPr>
        <w:t>没有政府性基金收支预算</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rPr>
        <w:t>海南省国际商务促进中心2024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rPr>
        <w:t>海南省国际商务促进中心2024</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；支出包括：一般公共服务支出、社会保障和就业支出、卫生健康支出、住房保障支出。</w:t>
      </w:r>
      <w:r>
        <w:rPr>
          <w:rFonts w:hint="eastAsia" w:ascii="仿宋_GB2312" w:hAnsi="黑体" w:eastAsia="仿宋_GB2312" w:cs="仿宋_GB2312"/>
          <w:sz w:val="32"/>
          <w:szCs w:val="32"/>
        </w:rPr>
        <w:t>海南省国际商务促进中心2024</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1382.68</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rPr>
        <w:t>海南省国际商务促进中心2024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hint="eastAsia" w:ascii="仿宋_GB2312" w:hAnsi="黑体" w:eastAsia="仿宋_GB2312"/>
          <w:sz w:val="32"/>
          <w:szCs w:val="32"/>
          <w:u w:val="none"/>
        </w:rPr>
      </w:pPr>
      <w:r>
        <w:rPr>
          <w:rFonts w:hint="eastAsia" w:ascii="仿宋_GB2312" w:hAnsi="黑体" w:eastAsia="仿宋_GB2312"/>
          <w:sz w:val="32"/>
          <w:szCs w:val="32"/>
          <w:u w:val="none"/>
        </w:rPr>
        <w:t>海南省国际商务促进中心2024年收入预算1382.68万元，其中：上年结转</w:t>
      </w:r>
      <w:r>
        <w:rPr>
          <w:rFonts w:hint="eastAsia" w:ascii="仿宋_GB2312" w:hAnsi="黑体" w:eastAsia="仿宋_GB2312"/>
          <w:sz w:val="32"/>
          <w:szCs w:val="32"/>
          <w:u w:val="none"/>
          <w:lang w:val="en-US" w:eastAsia="zh-CN"/>
        </w:rPr>
        <w:t>0</w:t>
      </w:r>
      <w:r>
        <w:rPr>
          <w:rFonts w:hint="eastAsia" w:ascii="仿宋_GB2312" w:hAnsi="黑体" w:eastAsia="仿宋_GB2312"/>
          <w:sz w:val="32"/>
          <w:szCs w:val="32"/>
          <w:u w:val="none"/>
        </w:rPr>
        <w:t>万元，占</w:t>
      </w:r>
      <w:r>
        <w:rPr>
          <w:rFonts w:hint="eastAsia" w:ascii="仿宋_GB2312" w:hAnsi="黑体" w:eastAsia="仿宋_GB2312"/>
          <w:sz w:val="32"/>
          <w:szCs w:val="32"/>
          <w:u w:val="none"/>
          <w:lang w:val="en-US" w:eastAsia="zh-CN"/>
        </w:rPr>
        <w:t>0</w:t>
      </w:r>
      <w:r>
        <w:rPr>
          <w:rFonts w:hint="eastAsia" w:ascii="仿宋_GB2312" w:hAnsi="黑体" w:eastAsia="仿宋_GB2312"/>
          <w:sz w:val="32"/>
          <w:szCs w:val="32"/>
          <w:u w:val="none"/>
        </w:rPr>
        <w:t>%；经费拨款收入1382.68万元，占</w:t>
      </w:r>
      <w:r>
        <w:rPr>
          <w:rFonts w:hint="eastAsia" w:ascii="仿宋_GB2312" w:hAnsi="黑体" w:eastAsia="仿宋_GB2312"/>
          <w:sz w:val="32"/>
          <w:szCs w:val="32"/>
          <w:u w:val="none"/>
          <w:lang w:val="en-US" w:eastAsia="zh-CN"/>
        </w:rPr>
        <w:t>100</w:t>
      </w:r>
      <w:r>
        <w:rPr>
          <w:rFonts w:hint="eastAsia" w:ascii="仿宋_GB2312" w:hAnsi="黑体" w:eastAsia="仿宋_GB2312"/>
          <w:sz w:val="32"/>
          <w:szCs w:val="32"/>
          <w:u w:val="none"/>
        </w:rPr>
        <w:t>%；政府性基金收入</w:t>
      </w:r>
      <w:r>
        <w:rPr>
          <w:rFonts w:hint="eastAsia" w:ascii="仿宋_GB2312" w:hAnsi="黑体" w:eastAsia="仿宋_GB2312"/>
          <w:sz w:val="32"/>
          <w:szCs w:val="32"/>
          <w:u w:val="none"/>
          <w:lang w:val="en-US" w:eastAsia="zh-CN"/>
        </w:rPr>
        <w:t>0</w:t>
      </w:r>
      <w:r>
        <w:rPr>
          <w:rFonts w:hint="eastAsia" w:ascii="仿宋_GB2312" w:hAnsi="黑体" w:eastAsia="仿宋_GB2312"/>
          <w:sz w:val="32"/>
          <w:szCs w:val="32"/>
          <w:u w:val="none"/>
        </w:rPr>
        <w:t>万元，占</w:t>
      </w:r>
      <w:r>
        <w:rPr>
          <w:rFonts w:hint="eastAsia" w:ascii="仿宋_GB2312" w:hAnsi="黑体" w:eastAsia="仿宋_GB2312"/>
          <w:sz w:val="32"/>
          <w:szCs w:val="32"/>
          <w:u w:val="none"/>
          <w:lang w:val="en-US" w:eastAsia="zh-CN"/>
        </w:rPr>
        <w:t>0</w:t>
      </w:r>
      <w:r>
        <w:rPr>
          <w:rFonts w:hint="eastAsia" w:ascii="仿宋_GB2312" w:hAnsi="黑体" w:eastAsia="仿宋_GB2312"/>
          <w:sz w:val="32"/>
          <w:szCs w:val="32"/>
          <w:u w:val="none"/>
        </w:rPr>
        <w:t>%；专项收入</w:t>
      </w:r>
      <w:r>
        <w:rPr>
          <w:rFonts w:hint="eastAsia" w:ascii="仿宋_GB2312" w:hAnsi="黑体" w:eastAsia="仿宋_GB2312"/>
          <w:sz w:val="32"/>
          <w:szCs w:val="32"/>
          <w:u w:val="none"/>
          <w:lang w:val="en-US" w:eastAsia="zh-CN"/>
        </w:rPr>
        <w:t>0</w:t>
      </w:r>
      <w:r>
        <w:rPr>
          <w:rFonts w:hint="eastAsia" w:ascii="仿宋_GB2312" w:hAnsi="黑体" w:eastAsia="仿宋_GB2312"/>
          <w:sz w:val="32"/>
          <w:szCs w:val="32"/>
          <w:u w:val="none"/>
        </w:rPr>
        <w:t>万元，占</w:t>
      </w:r>
      <w:r>
        <w:rPr>
          <w:rFonts w:hint="eastAsia" w:ascii="仿宋_GB2312" w:hAnsi="黑体" w:eastAsia="仿宋_GB2312"/>
          <w:sz w:val="32"/>
          <w:szCs w:val="32"/>
          <w:u w:val="none"/>
          <w:lang w:val="en-US" w:eastAsia="zh-CN"/>
        </w:rPr>
        <w:t>0</w:t>
      </w:r>
      <w:r>
        <w:rPr>
          <w:rFonts w:hint="eastAsia" w:ascii="仿宋_GB2312" w:hAnsi="黑体" w:eastAsia="仿宋_GB2312"/>
          <w:sz w:val="32"/>
          <w:szCs w:val="32"/>
          <w:u w:val="none"/>
        </w:rPr>
        <w:t>%。比上年预算数减少214.26万元，主要是</w:t>
      </w:r>
      <w:r>
        <w:rPr>
          <w:rFonts w:hint="eastAsia" w:ascii="仿宋_GB2312" w:hAnsi="黑体" w:eastAsia="仿宋_GB2312"/>
          <w:sz w:val="32"/>
          <w:szCs w:val="32"/>
          <w:u w:val="none"/>
          <w:lang w:eastAsia="zh-CN"/>
        </w:rPr>
        <w:t>一是人员正常晋升、工资调整和社保公积金基数增加</w:t>
      </w:r>
      <w:r>
        <w:rPr>
          <w:rFonts w:hint="eastAsia" w:ascii="仿宋_GB2312" w:hAnsi="黑体" w:eastAsia="仿宋_GB2312"/>
          <w:sz w:val="32"/>
          <w:szCs w:val="32"/>
          <w:u w:val="none"/>
          <w:lang w:val="en-US" w:eastAsia="zh-CN"/>
        </w:rPr>
        <w:t>,相应</w:t>
      </w:r>
      <w:r>
        <w:rPr>
          <w:rFonts w:hint="eastAsia" w:ascii="仿宋_GB2312" w:hAnsi="黑体" w:eastAsia="仿宋_GB2312"/>
          <w:sz w:val="32"/>
          <w:szCs w:val="32"/>
          <w:u w:val="none"/>
          <w:lang w:eastAsia="zh-CN"/>
        </w:rPr>
        <w:t>基本支出增加</w:t>
      </w:r>
      <w:r>
        <w:rPr>
          <w:rFonts w:hint="eastAsia" w:ascii="仿宋_GB2312" w:hAnsi="黑体" w:eastAsia="仿宋_GB2312"/>
          <w:sz w:val="32"/>
          <w:szCs w:val="32"/>
          <w:u w:val="none"/>
        </w:rPr>
        <w:t>50.3万元</w:t>
      </w:r>
      <w:r>
        <w:rPr>
          <w:rFonts w:hint="eastAsia" w:ascii="仿宋_GB2312" w:hAnsi="黑体" w:eastAsia="仿宋_GB2312"/>
          <w:sz w:val="32"/>
          <w:szCs w:val="32"/>
          <w:u w:val="none"/>
          <w:lang w:eastAsia="zh-CN"/>
        </w:rPr>
        <w:t>，二是根据</w:t>
      </w:r>
      <w:r>
        <w:rPr>
          <w:rFonts w:hint="eastAsia" w:ascii="仿宋_GB2312" w:hAnsi="黑体" w:eastAsia="仿宋_GB2312"/>
          <w:sz w:val="32"/>
          <w:szCs w:val="32"/>
          <w:u w:val="none"/>
        </w:rPr>
        <w:t>实际</w:t>
      </w:r>
      <w:r>
        <w:rPr>
          <w:rFonts w:hint="eastAsia" w:ascii="仿宋_GB2312" w:hAnsi="黑体" w:eastAsia="仿宋_GB2312"/>
          <w:sz w:val="32"/>
          <w:szCs w:val="32"/>
          <w:u w:val="none"/>
          <w:lang w:eastAsia="zh-CN"/>
        </w:rPr>
        <w:t>工作</w:t>
      </w:r>
      <w:r>
        <w:rPr>
          <w:rFonts w:hint="eastAsia" w:ascii="仿宋_GB2312" w:hAnsi="黑体" w:eastAsia="仿宋_GB2312"/>
          <w:sz w:val="32"/>
          <w:szCs w:val="32"/>
          <w:u w:val="none"/>
        </w:rPr>
        <w:t>需要，信息系统运行维护</w:t>
      </w:r>
      <w:r>
        <w:rPr>
          <w:rFonts w:hint="eastAsia" w:ascii="仿宋_GB2312" w:hAnsi="黑体" w:eastAsia="仿宋_GB2312"/>
          <w:sz w:val="32"/>
          <w:szCs w:val="32"/>
          <w:u w:val="none"/>
          <w:lang w:eastAsia="zh-CN"/>
        </w:rPr>
        <w:t>项目预算支出减少264.</w:t>
      </w:r>
      <w:r>
        <w:rPr>
          <w:rFonts w:hint="eastAsia" w:ascii="仿宋_GB2312" w:hAnsi="黑体" w:eastAsia="仿宋_GB2312"/>
          <w:sz w:val="32"/>
          <w:szCs w:val="32"/>
          <w:u w:val="none"/>
        </w:rPr>
        <w:t>56万元。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rPr>
        <w:t>海南省国际商务促进中心2024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海南省国际商务促进中心2024年支出预算</w:t>
      </w:r>
      <w:r>
        <w:rPr>
          <w:rFonts w:hint="eastAsia" w:ascii="仿宋_GB2312" w:hAnsi="黑体" w:eastAsia="仿宋_GB2312" w:cs="仿宋_GB2312"/>
          <w:sz w:val="32"/>
          <w:szCs w:val="32"/>
        </w:rPr>
        <w:t>1382.68</w:t>
      </w:r>
      <w:r>
        <w:rPr>
          <w:rFonts w:hint="eastAsia" w:ascii="仿宋_GB2312" w:hAnsi="黑体" w:eastAsia="仿宋_GB2312"/>
          <w:sz w:val="32"/>
          <w:szCs w:val="32"/>
        </w:rPr>
        <w:t>万元，其中：基本支出449.25万元，占32.49%；项目支出933.44万元，占67.51%。比上年预算数减少214.26万元，主要</w:t>
      </w:r>
      <w:r>
        <w:rPr>
          <w:rFonts w:hint="eastAsia" w:ascii="仿宋_GB2312" w:hAnsi="黑体" w:eastAsia="仿宋_GB2312"/>
          <w:sz w:val="32"/>
          <w:szCs w:val="32"/>
          <w:lang w:eastAsia="zh-CN"/>
        </w:rPr>
        <w:t>一是人员工资正常晋升和社保公积金基数增加导致基本支出增加，二是根据</w:t>
      </w:r>
      <w:r>
        <w:rPr>
          <w:rFonts w:hint="eastAsia" w:ascii="仿宋_GB2312" w:hAnsi="黑体" w:eastAsia="仿宋_GB2312"/>
          <w:sz w:val="32"/>
          <w:szCs w:val="32"/>
        </w:rPr>
        <w:t>实际</w:t>
      </w:r>
      <w:r>
        <w:rPr>
          <w:rFonts w:hint="eastAsia" w:ascii="仿宋_GB2312" w:hAnsi="黑体" w:eastAsia="仿宋_GB2312"/>
          <w:sz w:val="32"/>
          <w:szCs w:val="32"/>
          <w:lang w:eastAsia="zh-CN"/>
        </w:rPr>
        <w:t>工作</w:t>
      </w:r>
      <w:r>
        <w:rPr>
          <w:rFonts w:hint="eastAsia" w:ascii="仿宋_GB2312" w:hAnsi="黑体" w:eastAsia="仿宋_GB2312"/>
          <w:sz w:val="32"/>
          <w:szCs w:val="32"/>
        </w:rPr>
        <w:t>需要，减少信息系统运行维护项目资金支出。。</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ˎ̥" w:eastAsia="仿宋_GB2312" w:cs="仿宋_GB2312"/>
          <w:sz w:val="32"/>
          <w:szCs w:val="32"/>
        </w:rPr>
        <w:t>海南省国际商务促进中心是公益一类事业单位，</w:t>
      </w:r>
      <w:r>
        <w:rPr>
          <w:rFonts w:hint="eastAsia" w:ascii="仿宋_GB2312" w:hAnsi="黑体" w:eastAsia="仿宋_GB2312" w:cs="Times New Roman"/>
          <w:sz w:val="32"/>
          <w:szCs w:val="32"/>
        </w:rPr>
        <w:t>无此项经费</w:t>
      </w:r>
      <w:r>
        <w:rPr>
          <w:rFonts w:hint="eastAsia" w:ascii="仿宋_GB2312" w:hAnsi="黑体" w:eastAsia="仿宋_GB2312"/>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2024</w:t>
      </w:r>
      <w:r>
        <w:rPr>
          <w:rFonts w:hint="eastAsia" w:ascii="仿宋_GB2312" w:hAnsi="黑体" w:eastAsia="仿宋_GB2312"/>
          <w:sz w:val="32"/>
          <w:szCs w:val="32"/>
        </w:rPr>
        <w:t>年海南省国际商务促进中心</w:t>
      </w:r>
      <w:r>
        <w:rPr>
          <w:rFonts w:hint="eastAsia" w:ascii="仿宋_GB2312" w:hAnsi="黑体" w:eastAsia="仿宋_GB2312" w:cs="仿宋_GB2312"/>
          <w:sz w:val="32"/>
          <w:szCs w:val="32"/>
        </w:rPr>
        <w:t>政府采购预算总额63</w:t>
      </w:r>
      <w:r>
        <w:rPr>
          <w:rFonts w:hint="eastAsia" w:ascii="仿宋_GB2312" w:hAnsi="黑体" w:eastAsia="仿宋_GB2312" w:cs="仿宋_GB2312"/>
          <w:sz w:val="32"/>
          <w:szCs w:val="32"/>
          <w:lang w:val="en-US" w:eastAsia="zh-CN"/>
        </w:rPr>
        <w:t>1.37</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rPr>
        <w:t>631.37</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sz w:val="32"/>
          <w:szCs w:val="32"/>
        </w:rPr>
        <w:t>年12月31日，海南省国际商务促进中心</w:t>
      </w:r>
      <w:r>
        <w:rPr>
          <w:rFonts w:hint="eastAsia" w:ascii="仿宋_GB2312" w:hAnsi="黑体" w:eastAsia="仿宋_GB2312" w:cs="仿宋_GB2312"/>
          <w:sz w:val="32"/>
          <w:szCs w:val="32"/>
        </w:rPr>
        <w:t>本级及下属各预算单位共有车辆3辆，其中，其他用车3辆。单位价值100万元以上设备0台（套）。</w:t>
      </w:r>
    </w:p>
    <w:p>
      <w:pPr>
        <w:widowControl/>
        <w:ind w:firstLine="640" w:firstLineChars="200"/>
        <w:jc w:val="left"/>
        <w:rPr>
          <w:rFonts w:ascii="楷体" w:hAnsi="楷体" w:eastAsia="楷体"/>
          <w:sz w:val="32"/>
          <w:szCs w:val="32"/>
        </w:rPr>
      </w:pPr>
      <w:r>
        <w:rPr>
          <w:rFonts w:hint="eastAsia" w:ascii="楷体" w:hAnsi="楷体" w:eastAsia="楷体"/>
          <w:sz w:val="32"/>
          <w:szCs w:val="32"/>
        </w:rPr>
        <w:t>（四）</w:t>
      </w:r>
      <w:r>
        <w:rPr>
          <w:rFonts w:hint="eastAsia" w:ascii="楷体" w:hAnsi="楷体" w:eastAsia="楷体"/>
          <w:sz w:val="32"/>
          <w:szCs w:val="32"/>
          <w:lang w:bidi="ar"/>
        </w:rPr>
        <w:t>绩效目标设置及重点项目绩效目标说明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2024</w:t>
      </w:r>
      <w:r>
        <w:rPr>
          <w:rFonts w:hint="eastAsia" w:ascii="仿宋_GB2312" w:hAnsi="黑体" w:eastAsia="仿宋_GB2312"/>
          <w:sz w:val="32"/>
          <w:szCs w:val="32"/>
        </w:rPr>
        <w:t>年海南省国际商务促进中心</w:t>
      </w:r>
      <w:r>
        <w:rPr>
          <w:rFonts w:hint="eastAsia" w:ascii="仿宋_GB2312" w:hAnsi="黑体" w:eastAsia="仿宋_GB2312" w:cs="仿宋_GB2312"/>
          <w:sz w:val="32"/>
          <w:szCs w:val="32"/>
        </w:rPr>
        <w:t>12个项目实行绩效目标管理，涉及一般公共预算1382.68</w:t>
      </w:r>
      <w:r>
        <w:rPr>
          <w:rFonts w:hint="eastAsia" w:ascii="仿宋_GB2312" w:hAnsi="黑体" w:eastAsia="仿宋_GB2312"/>
          <w:sz w:val="32"/>
          <w:szCs w:val="32"/>
        </w:rPr>
        <w:t>万元。</w:t>
      </w:r>
    </w:p>
    <w:p>
      <w:pPr>
        <w:ind w:firstLine="640" w:firstLineChars="200"/>
        <w:rPr>
          <w:rFonts w:ascii="仿宋_GB2312" w:hAnsi="黑体" w:eastAsia="仿宋_GB2312"/>
          <w:sz w:val="32"/>
          <w:szCs w:val="32"/>
        </w:rPr>
      </w:pPr>
      <w:r>
        <w:rPr>
          <w:rFonts w:hint="eastAsia" w:ascii="仿宋_GB2312" w:hAnsi="黑体" w:eastAsia="仿宋_GB2312"/>
          <w:sz w:val="32"/>
          <w:szCs w:val="32"/>
        </w:rPr>
        <w:t>其中，重点项目预算绩效情况：</w:t>
      </w:r>
    </w:p>
    <w:p>
      <w:pPr>
        <w:numPr>
          <w:ilvl w:val="0"/>
          <w:numId w:val="6"/>
        </w:num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免税购物数据认证服务项目，预算安排180万元，主要用于购买旅客航空离岛数据服务，绩效目标是满足离岛免税旅客购物及提货信息验证及海关数据核销的需求。</w:t>
      </w:r>
    </w:p>
    <w:p>
      <w:pPr>
        <w:numPr>
          <w:ilvl w:val="0"/>
          <w:numId w:val="6"/>
        </w:num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信息系统运行维护项目，预算安排337.3万元，主要用于对海南离岛旅客免税购物管理信息系统公共服务平台、中国（海南）自由贸易试验区和中国特色自由贸易港招商引才网、海南电子口岸大通关系统、海南省境外游艇管理信息系统、海南省服务贸易综合政务服务平台等5个信息系统基础资源进行监控和管理，绩效目标是及时掌握信息系统资源现状和配置信息，反映信息系统资源的可用性情况和健康状况，创建一个可知可控的IT环境，保证信息系统的各类业务应用系统的可靠、高效、持续和安全运行。</w:t>
      </w:r>
    </w:p>
    <w:p>
      <w:pPr>
        <w:numPr>
          <w:ilvl w:val="0"/>
          <w:numId w:val="6"/>
        </w:numPr>
        <w:ind w:firstLine="640" w:firstLineChars="200"/>
        <w:rPr>
          <w:rFonts w:ascii="黑体" w:hAnsi="黑体" w:eastAsia="黑体"/>
          <w:sz w:val="32"/>
          <w:szCs w:val="32"/>
        </w:rPr>
      </w:pPr>
      <w:r>
        <w:rPr>
          <w:rFonts w:hint="eastAsia" w:ascii="仿宋_GB2312" w:hAnsi="黑体" w:eastAsia="仿宋_GB2312" w:cs="仿宋_GB2312"/>
          <w:sz w:val="32"/>
          <w:szCs w:val="32"/>
        </w:rPr>
        <w:t>综合运行事务项目，预算安排416.14万元，主要用于海招网运营推广费、配电房托管费、机房用电费，绩效目标是为建设海南自由贸易港提供招商引才政策和新闻宣传窗口，发挥网上招商引才作用，让企业和海内外人才更加方便了解海南自由贸易港的相关优惠政策和优势条件。系统机房用电及机房托管实现信息系统正常运行。</w:t>
      </w: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numPr>
          <w:ilvl w:val="0"/>
          <w:numId w:val="7"/>
        </w:num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财政拨款收入：指本级财政当年拨付的资金。</w:t>
      </w:r>
    </w:p>
    <w:p>
      <w:pPr>
        <w:autoSpaceDE w:val="0"/>
        <w:autoSpaceDN w:val="0"/>
        <w:adjustRightInd w:val="0"/>
        <w:spacing w:line="480" w:lineRule="auto"/>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二、一般公共预算收入：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spacing w:line="48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spacing w:line="48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spacing w:line="48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spacing w:line="48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spacing w:line="48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spacing w:line="480" w:lineRule="auto"/>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spacing w:line="480" w:lineRule="auto"/>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spacing w:line="480" w:lineRule="auto"/>
        <w:ind w:firstLine="640" w:firstLineChars="200"/>
        <w:rPr>
          <w:rFonts w:ascii="仿宋_GB2312" w:hAnsi="黑体" w:eastAsia="仿宋_GB2312"/>
          <w:sz w:val="32"/>
        </w:rPr>
      </w:pPr>
      <w:r>
        <w:rPr>
          <w:rFonts w:hint="eastAsia" w:ascii="仿宋_GB2312" w:hAnsi="黑体" w:eastAsia="仿宋_GB2312"/>
          <w:sz w:val="32"/>
        </w:rPr>
        <w:t>十、一般公共服务（类）商贸事务（款）事业运行（项）：指</w:t>
      </w:r>
      <w:r>
        <w:rPr>
          <w:rFonts w:hint="eastAsia" w:ascii="仿宋_GB2312" w:hAnsi="宋体" w:eastAsia="仿宋_GB2312" w:cs="宋体"/>
          <w:color w:val="000000"/>
          <w:kern w:val="0"/>
          <w:sz w:val="32"/>
          <w:szCs w:val="30"/>
        </w:rPr>
        <w:t>海南省散装水泥办公室</w:t>
      </w:r>
      <w:r>
        <w:rPr>
          <w:rFonts w:hint="eastAsia" w:ascii="仿宋_GB2312" w:hAnsi="黑体" w:eastAsia="仿宋_GB2312"/>
          <w:sz w:val="32"/>
        </w:rPr>
        <w:t>的基本支出，不包括行政单位(包括实行公务员管理的事业单位)后勤服务中心、医务室等附属事业单位。</w:t>
      </w:r>
    </w:p>
    <w:p>
      <w:pPr>
        <w:widowControl/>
        <w:spacing w:line="480" w:lineRule="auto"/>
        <w:ind w:firstLine="640" w:firstLineChars="200"/>
        <w:rPr>
          <w:rFonts w:ascii="仿宋_GB2312" w:hAnsi="黑体" w:eastAsia="仿宋_GB2312"/>
          <w:sz w:val="32"/>
        </w:rPr>
      </w:pPr>
      <w:r>
        <w:rPr>
          <w:rFonts w:hint="eastAsia" w:ascii="仿宋_GB2312" w:hAnsi="黑体" w:eastAsia="仿宋_GB2312"/>
          <w:sz w:val="32"/>
        </w:rPr>
        <w:t>十一、一般公共服务（类）商贸事务（款）国内贸易管理（项）：指用于商贸部门国内贸易管理方面的支出。</w:t>
      </w:r>
    </w:p>
    <w:p>
      <w:pPr>
        <w:spacing w:line="480" w:lineRule="auto"/>
        <w:ind w:firstLine="640" w:firstLineChars="200"/>
        <w:rPr>
          <w:rFonts w:ascii="仿宋_GB2312" w:hAnsi="黑体" w:eastAsia="仿宋_GB2312"/>
          <w:sz w:val="32"/>
        </w:rPr>
      </w:pPr>
      <w:r>
        <w:rPr>
          <w:rFonts w:hint="eastAsia" w:ascii="仿宋_GB2312" w:hAnsi="黑体" w:eastAsia="仿宋_GB2312"/>
          <w:sz w:val="32"/>
        </w:rPr>
        <w:t>十二、一般公共服务（类）商贸事务（款）其他商贸事务支出（项）：指用于除上述项目以外其他用于商贸事务方面的支出。</w:t>
      </w:r>
    </w:p>
    <w:p>
      <w:pPr>
        <w:spacing w:line="480" w:lineRule="auto"/>
        <w:ind w:firstLine="640" w:firstLineChars="200"/>
        <w:rPr>
          <w:rFonts w:ascii="仿宋_GB2312" w:hAnsi="黑体" w:eastAsia="仿宋_GB2312"/>
          <w:sz w:val="32"/>
        </w:rPr>
      </w:pPr>
      <w:r>
        <w:rPr>
          <w:rFonts w:hint="eastAsia" w:ascii="仿宋_GB2312" w:hAnsi="黑体" w:eastAsia="仿宋_GB2312"/>
          <w:sz w:val="32"/>
        </w:rPr>
        <w:t>十三、社会保障和就业支出（类）行政事业单位养老支出（款）机关事业单位基本养老保险缴费支出（项）：指机关事业单位实施养老保险制度由单位缴纳的基本养老保险费支出。</w:t>
      </w:r>
    </w:p>
    <w:p>
      <w:pPr>
        <w:spacing w:line="480" w:lineRule="auto"/>
        <w:ind w:firstLine="640" w:firstLineChars="200"/>
        <w:rPr>
          <w:rFonts w:ascii="仿宋_GB2312" w:hAnsi="黑体" w:eastAsia="仿宋_GB2312"/>
          <w:sz w:val="32"/>
        </w:rPr>
      </w:pPr>
      <w:r>
        <w:rPr>
          <w:rFonts w:hint="eastAsia" w:ascii="仿宋_GB2312" w:hAnsi="黑体" w:eastAsia="仿宋_GB2312"/>
          <w:sz w:val="32"/>
        </w:rPr>
        <w:t>十四、社会保障和就业支出（类）行政事业单位养老支出（款）机关事业单位职业年金缴费支出（项）：指机关事业单位实施养老保险制度由。</w:t>
      </w:r>
    </w:p>
    <w:p>
      <w:pPr>
        <w:spacing w:line="480" w:lineRule="auto"/>
        <w:ind w:firstLine="640"/>
        <w:rPr>
          <w:rFonts w:ascii="仿宋_GB2312" w:hAnsi="黑体" w:eastAsia="仿宋_GB2312"/>
          <w:sz w:val="32"/>
        </w:rPr>
      </w:pPr>
      <w:r>
        <w:rPr>
          <w:rFonts w:hint="eastAsia" w:ascii="仿宋_GB2312" w:hAnsi="黑体" w:eastAsia="仿宋_GB2312"/>
          <w:sz w:val="32"/>
        </w:rPr>
        <w:t>十五、卫生健康支出（类）行政事业单位医疗（款）事业单位医疗（项）：指财政部门安排的事业单位基本医疗保险缴费经费，按国家规定享受离休人员待遇人员的医疗经费。</w:t>
      </w:r>
    </w:p>
    <w:p>
      <w:pPr>
        <w:spacing w:line="480" w:lineRule="auto"/>
        <w:ind w:firstLine="640"/>
        <w:rPr>
          <w:rFonts w:ascii="仿宋_GB2312" w:hAnsi="黑体" w:eastAsia="仿宋_GB2312"/>
          <w:sz w:val="32"/>
        </w:rPr>
      </w:pPr>
      <w:r>
        <w:rPr>
          <w:rFonts w:hint="eastAsia" w:ascii="仿宋_GB2312" w:hAnsi="黑体" w:eastAsia="仿宋_GB2312"/>
          <w:sz w:val="32"/>
        </w:rPr>
        <w:t>十六、住房保障支出（类）住房改革支出（款）住房公积金（项）：指用于行政事业单位按人力资源和社会保障部、财政部规定的基本工资和津贴补贴以及规定比例为职工缴纳的住房公积金。</w:t>
      </w:r>
    </w:p>
    <w:p>
      <w:pPr>
        <w:spacing w:line="480" w:lineRule="auto"/>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十七、基本支出：指海南省国际商务促进中心用于为保障其机构正常运转、完成日常工作任务而发生的人员支出和公用支出。</w:t>
      </w:r>
    </w:p>
    <w:p>
      <w:pPr>
        <w:spacing w:line="480" w:lineRule="auto"/>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十八、项目支出：指在基本支出之外为完成特定的行政工作任务或事业发展目标所发生的支出。</w:t>
      </w:r>
    </w:p>
    <w:p>
      <w:pPr>
        <w:spacing w:line="480" w:lineRule="auto"/>
        <w:ind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十九</w:t>
      </w:r>
      <w:r>
        <w:rPr>
          <w:rFonts w:hint="eastAsia" w:ascii="仿宋_GB2312" w:hAnsi="宋体" w:eastAsia="仿宋_GB2312" w:cs="宋体"/>
          <w:color w:val="000000"/>
          <w:kern w:val="0"/>
          <w:sz w:val="32"/>
          <w:szCs w:val="30"/>
        </w:rPr>
        <w:t>、“三公”经费：包括</w:t>
      </w:r>
      <w:r>
        <w:rPr>
          <w:rFonts w:ascii="仿宋_GB2312" w:hAnsi="宋体" w:eastAsia="仿宋_GB2312" w:cs="宋体"/>
          <w:color w:val="000000"/>
          <w:kern w:val="0"/>
          <w:sz w:val="32"/>
          <w:szCs w:val="30"/>
        </w:rPr>
        <w:t>因公出国（境）费、公务用车购置及运行费和公务接待费。其中，因公出国（境）费指单位公务出国（境）的</w:t>
      </w:r>
      <w:r>
        <w:rPr>
          <w:rFonts w:hint="eastAsia" w:ascii="仿宋_GB2312" w:hAnsi="宋体" w:eastAsia="仿宋_GB2312" w:cs="宋体"/>
          <w:color w:val="000000"/>
          <w:kern w:val="0"/>
          <w:sz w:val="32"/>
          <w:szCs w:val="30"/>
        </w:rPr>
        <w:t>国际旅费、国外城市间交通费、</w:t>
      </w:r>
      <w:r>
        <w:rPr>
          <w:rFonts w:ascii="仿宋_GB2312" w:hAnsi="宋体" w:eastAsia="仿宋_GB2312" w:cs="宋体"/>
          <w:color w:val="000000"/>
          <w:kern w:val="0"/>
          <w:sz w:val="32"/>
          <w:szCs w:val="30"/>
        </w:rPr>
        <w:t>住宿费、伙食费、培训费</w:t>
      </w:r>
      <w:r>
        <w:rPr>
          <w:rFonts w:hint="eastAsia" w:ascii="仿宋_GB2312" w:hAnsi="宋体" w:eastAsia="仿宋_GB2312" w:cs="宋体"/>
          <w:color w:val="000000"/>
          <w:kern w:val="0"/>
          <w:sz w:val="32"/>
          <w:szCs w:val="30"/>
        </w:rPr>
        <w:t>、公杂费</w:t>
      </w:r>
      <w:r>
        <w:rPr>
          <w:rFonts w:ascii="仿宋_GB2312" w:hAnsi="宋体" w:eastAsia="仿宋_GB2312" w:cs="宋体"/>
          <w:color w:val="000000"/>
          <w:kern w:val="0"/>
          <w:sz w:val="32"/>
          <w:szCs w:val="30"/>
        </w:rPr>
        <w:t>等支出；公务用车购置及运行费指单位公务用车</w:t>
      </w:r>
      <w:r>
        <w:rPr>
          <w:rFonts w:hint="eastAsia" w:ascii="仿宋_GB2312" w:hAnsi="宋体" w:eastAsia="仿宋_GB2312" w:cs="宋体"/>
          <w:color w:val="000000"/>
          <w:kern w:val="0"/>
          <w:sz w:val="32"/>
          <w:szCs w:val="30"/>
        </w:rPr>
        <w:t>车辆</w:t>
      </w:r>
      <w:r>
        <w:rPr>
          <w:rFonts w:ascii="仿宋_GB2312" w:hAnsi="宋体" w:eastAsia="仿宋_GB2312" w:cs="宋体"/>
          <w:color w:val="000000"/>
          <w:kern w:val="0"/>
          <w:sz w:val="32"/>
          <w:szCs w:val="30"/>
        </w:rPr>
        <w:t>购置</w:t>
      </w:r>
      <w:r>
        <w:rPr>
          <w:rFonts w:hint="eastAsia" w:ascii="仿宋_GB2312" w:hAnsi="宋体" w:eastAsia="仿宋_GB2312" w:cs="宋体"/>
          <w:color w:val="000000"/>
          <w:kern w:val="0"/>
          <w:sz w:val="32"/>
          <w:szCs w:val="30"/>
        </w:rPr>
        <w:t>支出（含车辆购置税）</w:t>
      </w:r>
      <w:r>
        <w:rPr>
          <w:rFonts w:ascii="仿宋_GB2312" w:hAnsi="宋体" w:eastAsia="仿宋_GB2312" w:cs="宋体"/>
          <w:color w:val="000000"/>
          <w:kern w:val="0"/>
          <w:sz w:val="32"/>
          <w:szCs w:val="30"/>
        </w:rPr>
        <w:t>及燃料费、维修费、过路过桥费、保险费、安全奖励费用等支出；公务接待费指单位按规定开支的各类公务接待（含外宾接待）支出。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ˎ̥">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E437D3"/>
    <w:multiLevelType w:val="singleLevel"/>
    <w:tmpl w:val="2EE437D3"/>
    <w:lvl w:ilvl="0" w:tentative="0">
      <w:start w:val="1"/>
      <w:numFmt w:val="chineseCounting"/>
      <w:suff w:val="nothing"/>
      <w:lvlText w:val="%1、"/>
      <w:lvlJc w:val="left"/>
      <w:rPr>
        <w:rFonts w:hint="eastAsia"/>
      </w:r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E0A82DA"/>
    <w:multiLevelType w:val="singleLevel"/>
    <w:tmpl w:val="4E0A82DA"/>
    <w:lvl w:ilvl="0" w:tentative="0">
      <w:start w:val="1"/>
      <w:numFmt w:val="decimal"/>
      <w:lvlText w:val="%1."/>
      <w:lvlJc w:val="left"/>
      <w:pPr>
        <w:tabs>
          <w:tab w:val="left" w:pos="312"/>
        </w:tabs>
      </w:p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5"/>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wODYyZTVmNjRjZGM1MTBjNDRiZmY0NGM4NTVjNTEifQ=="/>
  </w:docVars>
  <w:rsids>
    <w:rsidRoot w:val="00A81576"/>
    <w:rsid w:val="001F1701"/>
    <w:rsid w:val="003F1852"/>
    <w:rsid w:val="00770163"/>
    <w:rsid w:val="007F17AC"/>
    <w:rsid w:val="00A81576"/>
    <w:rsid w:val="00B07DCA"/>
    <w:rsid w:val="00F377B2"/>
    <w:rsid w:val="031841A0"/>
    <w:rsid w:val="0DDE57F8"/>
    <w:rsid w:val="1EB17768"/>
    <w:rsid w:val="21C4409F"/>
    <w:rsid w:val="2CFFD3C3"/>
    <w:rsid w:val="2FBF19B9"/>
    <w:rsid w:val="35491BA2"/>
    <w:rsid w:val="37DF1B78"/>
    <w:rsid w:val="3B3F2CA7"/>
    <w:rsid w:val="3CDC165C"/>
    <w:rsid w:val="43580E9D"/>
    <w:rsid w:val="45905269"/>
    <w:rsid w:val="477C7027"/>
    <w:rsid w:val="505C0F03"/>
    <w:rsid w:val="51A446BA"/>
    <w:rsid w:val="55FE5A3B"/>
    <w:rsid w:val="5BBD4A7F"/>
    <w:rsid w:val="637F3391"/>
    <w:rsid w:val="6561764D"/>
    <w:rsid w:val="69114685"/>
    <w:rsid w:val="6FDB1131"/>
    <w:rsid w:val="731D40CE"/>
    <w:rsid w:val="73CF45A9"/>
    <w:rsid w:val="767677BE"/>
    <w:rsid w:val="7689268E"/>
    <w:rsid w:val="79A30771"/>
    <w:rsid w:val="7BF736D2"/>
    <w:rsid w:val="7EFDD520"/>
    <w:rsid w:val="7F011B77"/>
    <w:rsid w:val="7FAAE0CC"/>
    <w:rsid w:val="7FFFDC33"/>
    <w:rsid w:val="ABBF3834"/>
    <w:rsid w:val="AFFF7822"/>
    <w:rsid w:val="D3DA912A"/>
    <w:rsid w:val="D97F626E"/>
    <w:rsid w:val="EF4F270F"/>
    <w:rsid w:val="FC6FBB23"/>
    <w:rsid w:val="FF5F5C3D"/>
    <w:rsid w:val="FF7C1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表段落1"/>
    <w:basedOn w:val="1"/>
    <w:autoRedefine/>
    <w:qFormat/>
    <w:uiPriority w:val="34"/>
    <w:pPr>
      <w:ind w:firstLine="420" w:firstLineChars="200"/>
    </w:pPr>
  </w:style>
  <w:style w:type="paragraph" w:customStyle="1" w:styleId="7">
    <w:name w:val="正文1 Char Char Char"/>
    <w:basedOn w:val="1"/>
    <w:autoRedefine/>
    <w:qFormat/>
    <w:uiPriority w:val="0"/>
    <w:pPr>
      <w:widowControl/>
      <w:spacing w:line="360" w:lineRule="auto"/>
      <w:ind w:firstLine="200" w:firstLineChars="200"/>
      <w:jc w:val="left"/>
    </w:pPr>
    <w:rPr>
      <w:rFonts w:ascii="宋体" w:hAnsi="宋体" w:cs="宋体"/>
      <w:kern w:val="0"/>
      <w:sz w:val="24"/>
      <w:szCs w:val="24"/>
    </w:rPr>
  </w:style>
  <w:style w:type="character" w:customStyle="1" w:styleId="8">
    <w:name w:val="页眉 字符"/>
    <w:basedOn w:val="5"/>
    <w:link w:val="3"/>
    <w:autoRedefine/>
    <w:semiHidden/>
    <w:qFormat/>
    <w:uiPriority w:val="99"/>
    <w:rPr>
      <w:sz w:val="18"/>
      <w:szCs w:val="18"/>
    </w:rPr>
  </w:style>
  <w:style w:type="character" w:customStyle="1" w:styleId="9">
    <w:name w:val="页脚 字符"/>
    <w:basedOn w:val="5"/>
    <w:link w:val="2"/>
    <w:autoRedefine/>
    <w:semiHidden/>
    <w:qFormat/>
    <w:uiPriority w:val="99"/>
    <w:rPr>
      <w:sz w:val="18"/>
      <w:szCs w:val="18"/>
    </w:rPr>
  </w:style>
  <w:style w:type="character" w:customStyle="1" w:styleId="10">
    <w:name w:val="font71"/>
    <w:basedOn w:val="5"/>
    <w:autoRedefine/>
    <w:qFormat/>
    <w:uiPriority w:val="0"/>
    <w:rPr>
      <w:rFonts w:hint="eastAsia" w:ascii="宋体" w:hAnsi="宋体" w:eastAsia="宋体" w:cs="宋体"/>
      <w:color w:val="000000"/>
      <w:sz w:val="22"/>
      <w:szCs w:val="22"/>
      <w:u w:val="none"/>
    </w:rPr>
  </w:style>
  <w:style w:type="character" w:customStyle="1" w:styleId="11">
    <w:name w:val="font91"/>
    <w:basedOn w:val="5"/>
    <w:autoRedefine/>
    <w:qFormat/>
    <w:uiPriority w:val="0"/>
    <w:rPr>
      <w:rFonts w:hint="eastAsia" w:ascii="宋体" w:hAnsi="宋体" w:eastAsia="宋体" w:cs="宋体"/>
      <w:color w:val="000000"/>
      <w:sz w:val="22"/>
      <w:szCs w:val="22"/>
      <w:u w:val="none"/>
    </w:rPr>
  </w:style>
  <w:style w:type="character" w:customStyle="1" w:styleId="12">
    <w:name w:val="font51"/>
    <w:basedOn w:val="5"/>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9120</Words>
  <Characters>10866</Characters>
  <Lines>93</Lines>
  <Paragraphs>26</Paragraphs>
  <TotalTime>0</TotalTime>
  <ScaleCrop>false</ScaleCrop>
  <LinksUpToDate>false</LinksUpToDate>
  <CharactersWithSpaces>11023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2017-02-06T23:31:00Z</dcterms:created>
  <dc:creator>null,null,总收发</dc:creator>
  <cp:lastModifiedBy>阿弟哥</cp:lastModifiedBy>
  <cp:lastPrinted>2024-01-22T22:59:00Z</cp:lastPrinted>
  <dcterms:modified xsi:type="dcterms:W3CDTF">2024-06-03T03:02:07Z</dcterms:modified>
  <dc:title>××年××部门（单位）预算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34D26FBF55104536A277C0C4D650EF6E_13</vt:lpwstr>
  </property>
</Properties>
</file>