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r>
        <w:rPr>
          <w:rFonts w:ascii="Times New Roman"/>
          <w:sz w:val="20"/>
        </w:rPr>
        <w:tab/>
      </w:r>
    </w:p>
    <w:p>
      <w:pPr>
        <w:pStyle w:val="5"/>
        <w:rPr>
          <w:rFonts w:ascii="Times New Roman"/>
          <w:sz w:val="20"/>
        </w:rPr>
      </w:pPr>
    </w:p>
    <w:p>
      <w:pPr>
        <w:pStyle w:val="5"/>
        <w:rPr>
          <w:rFonts w:ascii="Times New Roman"/>
          <w:sz w:val="20"/>
        </w:rPr>
      </w:pPr>
    </w:p>
    <w:p>
      <w:pPr>
        <w:pStyle w:val="5"/>
        <w:spacing w:before="9"/>
        <w:jc w:val="center"/>
        <w:rPr>
          <w:rFonts w:ascii="Times New Roman"/>
          <w:sz w:val="19"/>
        </w:rPr>
      </w:pPr>
    </w:p>
    <w:p>
      <w:pPr>
        <w:pStyle w:val="26"/>
        <w:spacing w:before="38" w:line="247" w:lineRule="auto"/>
        <w:ind w:left="2173"/>
        <w:jc w:val="center"/>
        <w:rPr>
          <w:lang w:eastAsia="zh-CN"/>
        </w:rPr>
      </w:pPr>
      <w:bookmarkStart w:id="0" w:name="_Toc167789366"/>
      <w:r>
        <w:rPr>
          <w:lang w:eastAsia="zh-CN"/>
        </w:rPr>
        <w:t>海南省商务厅</w:t>
      </w:r>
      <w:bookmarkEnd w:id="0"/>
    </w:p>
    <w:p>
      <w:pPr>
        <w:pStyle w:val="26"/>
        <w:spacing w:before="38" w:line="247" w:lineRule="auto"/>
        <w:ind w:left="2173"/>
        <w:jc w:val="center"/>
        <w:rPr>
          <w:lang w:eastAsia="zh-CN"/>
        </w:rPr>
      </w:pPr>
    </w:p>
    <w:p>
      <w:pPr>
        <w:pStyle w:val="26"/>
        <w:spacing w:before="38" w:line="247" w:lineRule="auto"/>
        <w:ind w:left="2173"/>
        <w:jc w:val="center"/>
        <w:rPr>
          <w:lang w:eastAsia="zh-CN"/>
        </w:rPr>
      </w:pPr>
      <w:bookmarkStart w:id="1" w:name="_Toc167789367"/>
      <w:r>
        <w:rPr>
          <w:rFonts w:hint="eastAsia"/>
          <w:lang w:eastAsia="zh-CN"/>
        </w:rPr>
        <w:t>促消费活动消费券</w:t>
      </w:r>
      <w:bookmarkEnd w:id="1"/>
    </w:p>
    <w:p>
      <w:pPr>
        <w:pStyle w:val="26"/>
        <w:spacing w:before="38" w:line="247" w:lineRule="auto"/>
        <w:ind w:left="2173"/>
        <w:jc w:val="center"/>
        <w:rPr>
          <w:lang w:eastAsia="zh-CN"/>
        </w:rPr>
      </w:pPr>
    </w:p>
    <w:p>
      <w:pPr>
        <w:pStyle w:val="26"/>
        <w:spacing w:before="38" w:line="247" w:lineRule="auto"/>
        <w:ind w:left="2173"/>
        <w:jc w:val="center"/>
        <w:rPr>
          <w:lang w:eastAsia="zh-CN"/>
        </w:rPr>
      </w:pPr>
      <w:bookmarkStart w:id="2" w:name="_Toc138928783"/>
      <w:bookmarkStart w:id="3" w:name="_Toc167789368"/>
      <w:bookmarkStart w:id="4" w:name="_Toc138928939"/>
      <w:bookmarkStart w:id="5" w:name="_Toc140654967"/>
      <w:r>
        <w:rPr>
          <w:lang w:eastAsia="zh-CN"/>
        </w:rPr>
        <w:t>项目</w:t>
      </w:r>
      <w:r>
        <w:rPr>
          <w:rFonts w:hint="eastAsia"/>
          <w:lang w:eastAsia="zh-CN"/>
        </w:rPr>
        <w:t>支</w:t>
      </w:r>
      <w:r>
        <w:rPr>
          <w:lang w:eastAsia="zh-CN"/>
        </w:rPr>
        <w:t>出绩效评价报告</w:t>
      </w:r>
      <w:bookmarkEnd w:id="2"/>
      <w:bookmarkEnd w:id="3"/>
      <w:bookmarkEnd w:id="4"/>
      <w:bookmarkEnd w:id="5"/>
    </w:p>
    <w:p>
      <w:pPr>
        <w:pStyle w:val="26"/>
        <w:spacing w:before="38" w:line="247" w:lineRule="auto"/>
        <w:ind w:left="2173"/>
        <w:jc w:val="center"/>
        <w:rPr>
          <w:lang w:eastAsia="zh-CN"/>
        </w:rPr>
      </w:pPr>
    </w:p>
    <w:p>
      <w:pPr>
        <w:pStyle w:val="20"/>
        <w:spacing w:before="38" w:line="247" w:lineRule="auto"/>
        <w:ind w:left="2173"/>
        <w:jc w:val="center"/>
        <w:rPr>
          <w:sz w:val="30"/>
          <w:szCs w:val="30"/>
          <w:lang w:eastAsia="zh-CN"/>
        </w:rPr>
      </w:pPr>
      <w:bookmarkStart w:id="6" w:name="_Toc167789369"/>
      <w:r>
        <w:rPr>
          <w:rFonts w:hint="eastAsia"/>
          <w:sz w:val="30"/>
          <w:szCs w:val="30"/>
          <w:lang w:eastAsia="zh-CN"/>
        </w:rPr>
        <w:t>中欧绩字[2024]06001号</w:t>
      </w:r>
      <w:bookmarkEnd w:id="6"/>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lang w:eastAsia="zh-CN"/>
        </w:rPr>
      </w:pPr>
    </w:p>
    <w:p>
      <w:pPr>
        <w:pStyle w:val="26"/>
        <w:spacing w:before="38" w:line="247" w:lineRule="auto"/>
        <w:ind w:left="2173"/>
        <w:jc w:val="center"/>
        <w:rPr>
          <w:sz w:val="48"/>
          <w:szCs w:val="48"/>
          <w:lang w:eastAsia="zh-CN"/>
        </w:rPr>
      </w:pPr>
    </w:p>
    <w:p>
      <w:pPr>
        <w:pStyle w:val="26"/>
        <w:spacing w:before="38" w:line="247" w:lineRule="auto"/>
        <w:ind w:left="2173"/>
        <w:jc w:val="center"/>
        <w:rPr>
          <w:sz w:val="32"/>
          <w:szCs w:val="32"/>
          <w:lang w:eastAsia="zh-CN"/>
        </w:rPr>
      </w:pPr>
      <w:bookmarkStart w:id="7" w:name="_Toc138928940"/>
      <w:bookmarkStart w:id="8" w:name="_Toc140654969"/>
      <w:bookmarkStart w:id="9" w:name="_Toc167789370"/>
      <w:bookmarkStart w:id="10" w:name="_Toc138928784"/>
      <w:r>
        <w:rPr>
          <w:rFonts w:hint="eastAsia"/>
          <w:sz w:val="32"/>
          <w:szCs w:val="32"/>
          <w:lang w:eastAsia="zh-CN"/>
        </w:rPr>
        <w:t>海南中欧会计师事务所有限公司</w:t>
      </w:r>
      <w:bookmarkEnd w:id="7"/>
      <w:bookmarkEnd w:id="8"/>
      <w:bookmarkEnd w:id="9"/>
      <w:bookmarkEnd w:id="10"/>
    </w:p>
    <w:p>
      <w:pPr>
        <w:pStyle w:val="26"/>
        <w:spacing w:before="38" w:line="247" w:lineRule="auto"/>
        <w:ind w:left="2173"/>
        <w:jc w:val="center"/>
        <w:rPr>
          <w:sz w:val="32"/>
          <w:szCs w:val="32"/>
          <w:lang w:eastAsia="zh-CN"/>
        </w:rPr>
      </w:pPr>
    </w:p>
    <w:p>
      <w:pPr>
        <w:pStyle w:val="26"/>
        <w:spacing w:before="38" w:line="247" w:lineRule="auto"/>
        <w:ind w:left="2173"/>
        <w:jc w:val="center"/>
        <w:rPr>
          <w:sz w:val="32"/>
          <w:szCs w:val="32"/>
          <w:lang w:eastAsia="zh-CN"/>
        </w:rPr>
      </w:pPr>
      <w:bookmarkStart w:id="11" w:name="_Toc140654970"/>
      <w:bookmarkStart w:id="12" w:name="_Toc138928941"/>
      <w:bookmarkStart w:id="13" w:name="_Toc167789371"/>
      <w:bookmarkStart w:id="14" w:name="_Toc138928785"/>
      <w:r>
        <w:rPr>
          <w:rFonts w:hint="eastAsia"/>
          <w:sz w:val="32"/>
          <w:szCs w:val="32"/>
          <w:lang w:eastAsia="zh-CN"/>
        </w:rPr>
        <w:t>2024年6月</w:t>
      </w:r>
      <w:bookmarkEnd w:id="11"/>
      <w:bookmarkEnd w:id="12"/>
      <w:bookmarkEnd w:id="13"/>
      <w:bookmarkEnd w:id="14"/>
    </w:p>
    <w:p>
      <w:pPr>
        <w:spacing w:line="247" w:lineRule="auto"/>
        <w:rPr>
          <w:sz w:val="48"/>
          <w:szCs w:val="48"/>
          <w:lang w:eastAsia="zh-CN"/>
        </w:rPr>
        <w:sectPr>
          <w:type w:val="continuous"/>
          <w:pgSz w:w="11910" w:h="16840"/>
          <w:pgMar w:top="1440" w:right="1797" w:bottom="1440" w:left="1797" w:header="720" w:footer="720" w:gutter="0"/>
          <w:cols w:space="720" w:num="1"/>
        </w:sectPr>
      </w:pPr>
      <w:bookmarkStart w:id="62" w:name="_GoBack"/>
      <w:bookmarkEnd w:id="62"/>
    </w:p>
    <w:p>
      <w:pPr>
        <w:pStyle w:val="22"/>
        <w:tabs>
          <w:tab w:val="left" w:pos="719"/>
        </w:tabs>
        <w:spacing w:line="540" w:lineRule="exact"/>
      </w:pPr>
      <w:r>
        <w:rPr>
          <w:lang w:eastAsia="zh-CN"/>
        </w:rPr>
        <w:t>目</w:t>
      </w:r>
      <w:r>
        <w:rPr>
          <w:lang w:eastAsia="zh-CN"/>
        </w:rPr>
        <w:tab/>
      </w:r>
      <w:r>
        <w:rPr>
          <w:lang w:eastAsia="zh-CN"/>
        </w:rPr>
        <w:t>录</w:t>
      </w:r>
      <w:r>
        <w:rPr>
          <w:sz w:val="32"/>
          <w:szCs w:val="32"/>
        </w:rPr>
        <w:fldChar w:fldCharType="begin"/>
      </w:r>
      <w:r>
        <w:rPr>
          <w:sz w:val="32"/>
          <w:szCs w:val="32"/>
        </w:rPr>
        <w:instrText xml:space="preserve"> TOC \o "1-3" \h \z \u </w:instrText>
      </w:r>
      <w:r>
        <w:rPr>
          <w:sz w:val="32"/>
          <w:szCs w:val="32"/>
        </w:rPr>
        <w:fldChar w:fldCharType="separate"/>
      </w:r>
    </w:p>
    <w:p>
      <w:pPr>
        <w:pStyle w:val="10"/>
        <w:tabs>
          <w:tab w:val="right" w:pos="8780"/>
        </w:tabs>
        <w:rPr>
          <w:kern w:val="2"/>
          <w:sz w:val="21"/>
        </w:rPr>
      </w:pPr>
      <w:r>
        <w:fldChar w:fldCharType="begin"/>
      </w:r>
      <w:r>
        <w:instrText xml:space="preserve">HYPERLINK  \l "_Toc167789372" </w:instrText>
      </w:r>
      <w:r>
        <w:fldChar w:fldCharType="separate"/>
      </w:r>
      <w:r>
        <w:rPr>
          <w:rStyle w:val="15"/>
          <w:rFonts w:hint="eastAsia" w:ascii="黑体" w:hAnsi="黑体"/>
        </w:rPr>
        <w:t>一、项目基本情况</w:t>
      </w:r>
      <w:r>
        <w:tab/>
      </w:r>
      <w:r>
        <w:fldChar w:fldCharType="begin"/>
      </w:r>
      <w:r>
        <w:instrText xml:space="preserve"> PAGEREF _Toc167789372 \h </w:instrText>
      </w:r>
      <w:r>
        <w:fldChar w:fldCharType="separate"/>
      </w:r>
      <w:r>
        <w:t>3</w:t>
      </w:r>
      <w:r>
        <w:fldChar w:fldCharType="end"/>
      </w:r>
      <w:r>
        <w:fldChar w:fldCharType="end"/>
      </w:r>
    </w:p>
    <w:p>
      <w:pPr>
        <w:pStyle w:val="11"/>
        <w:tabs>
          <w:tab w:val="right" w:pos="8780"/>
        </w:tabs>
        <w:rPr>
          <w:kern w:val="2"/>
          <w:sz w:val="21"/>
        </w:rPr>
      </w:pPr>
      <w:r>
        <w:fldChar w:fldCharType="begin"/>
      </w:r>
      <w:r>
        <w:instrText xml:space="preserve">HYPERLINK  \l "_Toc167789373" </w:instrText>
      </w:r>
      <w:r>
        <w:fldChar w:fldCharType="separate"/>
      </w:r>
      <w:r>
        <w:rPr>
          <w:rStyle w:val="15"/>
          <w:rFonts w:ascii="楷体" w:hAnsi="楷体" w:eastAsia="楷体" w:cs="楷体"/>
        </w:rPr>
        <w:t>(</w:t>
      </w:r>
      <w:r>
        <w:rPr>
          <w:rStyle w:val="15"/>
          <w:rFonts w:hint="eastAsia" w:ascii="楷体" w:hAnsi="楷体" w:eastAsia="楷体" w:cs="楷体"/>
        </w:rPr>
        <w:t>一</w:t>
      </w:r>
      <w:r>
        <w:rPr>
          <w:rStyle w:val="15"/>
          <w:rFonts w:ascii="楷体" w:hAnsi="楷体" w:eastAsia="楷体" w:cs="楷体"/>
        </w:rPr>
        <w:t>)</w:t>
      </w:r>
      <w:r>
        <w:rPr>
          <w:rStyle w:val="15"/>
          <w:rFonts w:hint="eastAsia" w:ascii="楷体" w:hAnsi="楷体" w:eastAsia="楷体" w:cs="楷体"/>
        </w:rPr>
        <w:t>项目概况</w:t>
      </w:r>
      <w:r>
        <w:tab/>
      </w:r>
      <w:r>
        <w:fldChar w:fldCharType="begin"/>
      </w:r>
      <w:r>
        <w:instrText xml:space="preserve"> PAGEREF _Toc167789373 \h </w:instrText>
      </w:r>
      <w:r>
        <w:fldChar w:fldCharType="separate"/>
      </w:r>
      <w:r>
        <w:t>3</w:t>
      </w:r>
      <w:r>
        <w:fldChar w:fldCharType="end"/>
      </w:r>
      <w:r>
        <w:fldChar w:fldCharType="end"/>
      </w:r>
    </w:p>
    <w:p>
      <w:pPr>
        <w:pStyle w:val="10"/>
        <w:tabs>
          <w:tab w:val="right" w:pos="8780"/>
        </w:tabs>
        <w:rPr>
          <w:kern w:val="2"/>
          <w:sz w:val="21"/>
        </w:rPr>
      </w:pPr>
      <w:r>
        <w:fldChar w:fldCharType="begin"/>
      </w:r>
      <w:r>
        <w:instrText xml:space="preserve">HYPERLINK  \l "_Toc167789374" </w:instrText>
      </w:r>
      <w:r>
        <w:fldChar w:fldCharType="separate"/>
      </w:r>
      <w:r>
        <w:rPr>
          <w:rStyle w:val="15"/>
          <w:rFonts w:hint="eastAsia" w:ascii="黑体" w:hAnsi="黑体"/>
        </w:rPr>
        <w:t>二、绩效评价工作开展情况</w:t>
      </w:r>
      <w:r>
        <w:tab/>
      </w:r>
      <w:r>
        <w:fldChar w:fldCharType="begin"/>
      </w:r>
      <w:r>
        <w:instrText xml:space="preserve"> PAGEREF _Toc167789374 \h </w:instrText>
      </w:r>
      <w:r>
        <w:fldChar w:fldCharType="separate"/>
      </w:r>
      <w:r>
        <w:t>4</w:t>
      </w:r>
      <w:r>
        <w:fldChar w:fldCharType="end"/>
      </w:r>
      <w:r>
        <w:fldChar w:fldCharType="end"/>
      </w:r>
    </w:p>
    <w:p>
      <w:pPr>
        <w:pStyle w:val="11"/>
        <w:tabs>
          <w:tab w:val="right" w:pos="8780"/>
        </w:tabs>
        <w:rPr>
          <w:kern w:val="2"/>
          <w:sz w:val="21"/>
        </w:rPr>
      </w:pPr>
      <w:r>
        <w:fldChar w:fldCharType="begin"/>
      </w:r>
      <w:r>
        <w:instrText xml:space="preserve">HYPERLINK  \l "_Toc167789375" </w:instrText>
      </w:r>
      <w:r>
        <w:fldChar w:fldCharType="separate"/>
      </w:r>
      <w:r>
        <w:rPr>
          <w:rStyle w:val="15"/>
          <w:rFonts w:ascii="楷体" w:hAnsi="楷体" w:eastAsia="楷体" w:cs="楷体"/>
        </w:rPr>
        <w:t>(</w:t>
      </w:r>
      <w:r>
        <w:rPr>
          <w:rStyle w:val="15"/>
          <w:rFonts w:hint="eastAsia" w:ascii="楷体" w:hAnsi="楷体" w:eastAsia="楷体" w:cs="楷体"/>
        </w:rPr>
        <w:t>一</w:t>
      </w:r>
      <w:r>
        <w:rPr>
          <w:rStyle w:val="15"/>
          <w:rFonts w:ascii="楷体" w:hAnsi="楷体" w:eastAsia="楷体" w:cs="楷体"/>
        </w:rPr>
        <w:t>)</w:t>
      </w:r>
      <w:r>
        <w:rPr>
          <w:rStyle w:val="15"/>
          <w:rFonts w:hint="eastAsia" w:ascii="楷体" w:hAnsi="楷体" w:eastAsia="楷体" w:cs="楷体"/>
        </w:rPr>
        <w:t>评价目的</w:t>
      </w:r>
      <w:r>
        <w:tab/>
      </w:r>
      <w:r>
        <w:fldChar w:fldCharType="begin"/>
      </w:r>
      <w:r>
        <w:instrText xml:space="preserve"> PAGEREF _Toc167789375 \h </w:instrText>
      </w:r>
      <w:r>
        <w:fldChar w:fldCharType="separate"/>
      </w:r>
      <w:r>
        <w:t>4</w:t>
      </w:r>
      <w:r>
        <w:fldChar w:fldCharType="end"/>
      </w:r>
      <w:r>
        <w:fldChar w:fldCharType="end"/>
      </w:r>
    </w:p>
    <w:p>
      <w:pPr>
        <w:pStyle w:val="11"/>
        <w:tabs>
          <w:tab w:val="right" w:pos="8780"/>
        </w:tabs>
        <w:rPr>
          <w:kern w:val="2"/>
          <w:sz w:val="21"/>
        </w:rPr>
      </w:pPr>
      <w:r>
        <w:fldChar w:fldCharType="begin"/>
      </w:r>
      <w:r>
        <w:instrText xml:space="preserve">HYPERLINK  \l "_Toc167789376" </w:instrText>
      </w:r>
      <w:r>
        <w:fldChar w:fldCharType="separate"/>
      </w:r>
      <w:r>
        <w:rPr>
          <w:rStyle w:val="15"/>
          <w:rFonts w:ascii="楷体" w:hAnsi="楷体" w:eastAsia="楷体" w:cs="楷体"/>
        </w:rPr>
        <w:t>(</w:t>
      </w:r>
      <w:r>
        <w:rPr>
          <w:rStyle w:val="15"/>
          <w:rFonts w:hint="eastAsia" w:ascii="楷体" w:hAnsi="楷体" w:eastAsia="楷体" w:cs="楷体"/>
        </w:rPr>
        <w:t>二</w:t>
      </w:r>
      <w:r>
        <w:rPr>
          <w:rStyle w:val="15"/>
          <w:rFonts w:ascii="楷体" w:hAnsi="楷体" w:eastAsia="楷体" w:cs="楷体"/>
        </w:rPr>
        <w:t>)</w:t>
      </w:r>
      <w:r>
        <w:rPr>
          <w:rStyle w:val="15"/>
          <w:rFonts w:hint="eastAsia" w:ascii="楷体" w:hAnsi="楷体" w:eastAsia="楷体" w:cs="楷体"/>
        </w:rPr>
        <w:t>评价对象和范围</w:t>
      </w:r>
      <w:r>
        <w:tab/>
      </w:r>
      <w:r>
        <w:fldChar w:fldCharType="begin"/>
      </w:r>
      <w:r>
        <w:instrText xml:space="preserve"> PAGEREF _Toc167789376 \h </w:instrText>
      </w:r>
      <w:r>
        <w:fldChar w:fldCharType="separate"/>
      </w:r>
      <w:r>
        <w:t>4</w:t>
      </w:r>
      <w:r>
        <w:fldChar w:fldCharType="end"/>
      </w:r>
      <w:r>
        <w:fldChar w:fldCharType="end"/>
      </w:r>
    </w:p>
    <w:p>
      <w:pPr>
        <w:pStyle w:val="11"/>
        <w:tabs>
          <w:tab w:val="right" w:pos="8780"/>
        </w:tabs>
        <w:rPr>
          <w:kern w:val="2"/>
          <w:sz w:val="21"/>
        </w:rPr>
      </w:pPr>
      <w:r>
        <w:fldChar w:fldCharType="begin"/>
      </w:r>
      <w:r>
        <w:instrText xml:space="preserve">HYPERLINK  \l "_Toc167789377" </w:instrText>
      </w:r>
      <w:r>
        <w:fldChar w:fldCharType="separate"/>
      </w:r>
      <w:r>
        <w:rPr>
          <w:rStyle w:val="15"/>
          <w:rFonts w:ascii="楷体" w:hAnsi="楷体" w:eastAsia="楷体" w:cs="楷体"/>
        </w:rPr>
        <w:t>(</w:t>
      </w:r>
      <w:r>
        <w:rPr>
          <w:rStyle w:val="15"/>
          <w:rFonts w:hint="eastAsia" w:ascii="楷体" w:hAnsi="楷体" w:eastAsia="楷体" w:cs="楷体"/>
        </w:rPr>
        <w:t>三</w:t>
      </w:r>
      <w:r>
        <w:rPr>
          <w:rStyle w:val="15"/>
          <w:rFonts w:ascii="楷体" w:hAnsi="楷体" w:eastAsia="楷体" w:cs="楷体"/>
        </w:rPr>
        <w:t>)</w:t>
      </w:r>
      <w:r>
        <w:rPr>
          <w:rStyle w:val="15"/>
          <w:rFonts w:hint="eastAsia" w:ascii="楷体" w:hAnsi="楷体" w:eastAsia="楷体" w:cs="楷体"/>
        </w:rPr>
        <w:t>项目绩效目标</w:t>
      </w:r>
      <w:r>
        <w:tab/>
      </w:r>
      <w:r>
        <w:fldChar w:fldCharType="begin"/>
      </w:r>
      <w:r>
        <w:instrText xml:space="preserve"> PAGEREF _Toc167789377 \h </w:instrText>
      </w:r>
      <w:r>
        <w:fldChar w:fldCharType="separate"/>
      </w:r>
      <w:r>
        <w:t>4</w:t>
      </w:r>
      <w:r>
        <w:fldChar w:fldCharType="end"/>
      </w:r>
      <w:r>
        <w:fldChar w:fldCharType="end"/>
      </w:r>
    </w:p>
    <w:p>
      <w:pPr>
        <w:pStyle w:val="11"/>
        <w:tabs>
          <w:tab w:val="right" w:pos="8780"/>
        </w:tabs>
        <w:rPr>
          <w:kern w:val="2"/>
          <w:sz w:val="21"/>
        </w:rPr>
      </w:pPr>
      <w:r>
        <w:fldChar w:fldCharType="begin"/>
      </w:r>
      <w:r>
        <w:instrText xml:space="preserve">HYPERLINK  \l "_Toc167789378" </w:instrText>
      </w:r>
      <w:r>
        <w:fldChar w:fldCharType="separate"/>
      </w:r>
      <w:r>
        <w:rPr>
          <w:rStyle w:val="15"/>
          <w:rFonts w:ascii="楷体" w:hAnsi="楷体" w:eastAsia="楷体" w:cs="楷体"/>
        </w:rPr>
        <w:t>(</w:t>
      </w:r>
      <w:r>
        <w:rPr>
          <w:rStyle w:val="15"/>
          <w:rFonts w:hint="eastAsia" w:ascii="楷体" w:hAnsi="楷体" w:eastAsia="楷体" w:cs="楷体"/>
        </w:rPr>
        <w:t>四</w:t>
      </w:r>
      <w:r>
        <w:rPr>
          <w:rStyle w:val="15"/>
          <w:rFonts w:ascii="楷体" w:hAnsi="楷体" w:eastAsia="楷体" w:cs="楷体"/>
        </w:rPr>
        <w:t>)</w:t>
      </w:r>
      <w:r>
        <w:rPr>
          <w:rStyle w:val="15"/>
          <w:rFonts w:hint="eastAsia" w:ascii="楷体" w:hAnsi="楷体" w:eastAsia="楷体" w:cs="楷体"/>
        </w:rPr>
        <w:t>评价原则及方法</w:t>
      </w:r>
      <w:r>
        <w:tab/>
      </w:r>
      <w:r>
        <w:fldChar w:fldCharType="begin"/>
      </w:r>
      <w:r>
        <w:instrText xml:space="preserve"> PAGEREF _Toc167789378 \h </w:instrText>
      </w:r>
      <w:r>
        <w:fldChar w:fldCharType="separate"/>
      </w:r>
      <w:r>
        <w:t>5</w:t>
      </w:r>
      <w:r>
        <w:fldChar w:fldCharType="end"/>
      </w:r>
      <w:r>
        <w:fldChar w:fldCharType="end"/>
      </w:r>
    </w:p>
    <w:p>
      <w:pPr>
        <w:pStyle w:val="11"/>
        <w:tabs>
          <w:tab w:val="right" w:pos="8780"/>
        </w:tabs>
        <w:rPr>
          <w:kern w:val="2"/>
          <w:sz w:val="21"/>
        </w:rPr>
      </w:pPr>
      <w:r>
        <w:fldChar w:fldCharType="begin"/>
      </w:r>
      <w:r>
        <w:instrText xml:space="preserve">HYPERLINK  \l "_Toc167789379" </w:instrText>
      </w:r>
      <w:r>
        <w:fldChar w:fldCharType="separate"/>
      </w:r>
      <w:r>
        <w:rPr>
          <w:rStyle w:val="15"/>
          <w:rFonts w:ascii="楷体" w:hAnsi="楷体" w:eastAsia="楷体" w:cs="楷体"/>
        </w:rPr>
        <w:t>(</w:t>
      </w:r>
      <w:r>
        <w:rPr>
          <w:rStyle w:val="15"/>
          <w:rFonts w:hint="eastAsia" w:ascii="楷体" w:hAnsi="楷体" w:eastAsia="楷体" w:cs="楷体"/>
        </w:rPr>
        <w:t>五</w:t>
      </w:r>
      <w:r>
        <w:rPr>
          <w:rStyle w:val="15"/>
          <w:rFonts w:ascii="楷体" w:hAnsi="楷体" w:eastAsia="楷体" w:cs="楷体"/>
        </w:rPr>
        <w:t>)</w:t>
      </w:r>
      <w:r>
        <w:rPr>
          <w:rStyle w:val="15"/>
          <w:rFonts w:hint="eastAsia" w:ascii="楷体" w:hAnsi="楷体" w:eastAsia="楷体" w:cs="楷体"/>
        </w:rPr>
        <w:t>评价依据</w:t>
      </w:r>
      <w:r>
        <w:tab/>
      </w:r>
      <w:r>
        <w:fldChar w:fldCharType="begin"/>
      </w:r>
      <w:r>
        <w:instrText xml:space="preserve"> PAGEREF _Toc167789379 \h </w:instrText>
      </w:r>
      <w:r>
        <w:fldChar w:fldCharType="separate"/>
      </w:r>
      <w:r>
        <w:t>6</w:t>
      </w:r>
      <w:r>
        <w:fldChar w:fldCharType="end"/>
      </w:r>
      <w:r>
        <w:fldChar w:fldCharType="end"/>
      </w:r>
    </w:p>
    <w:p>
      <w:pPr>
        <w:pStyle w:val="11"/>
        <w:tabs>
          <w:tab w:val="right" w:pos="8780"/>
        </w:tabs>
        <w:rPr>
          <w:kern w:val="2"/>
          <w:sz w:val="21"/>
        </w:rPr>
      </w:pPr>
      <w:r>
        <w:fldChar w:fldCharType="begin"/>
      </w:r>
      <w:r>
        <w:instrText xml:space="preserve">HYPERLINK  \l "_Toc167789380" </w:instrText>
      </w:r>
      <w:r>
        <w:fldChar w:fldCharType="separate"/>
      </w:r>
      <w:r>
        <w:rPr>
          <w:rStyle w:val="15"/>
          <w:rFonts w:ascii="楷体" w:hAnsi="楷体" w:eastAsia="楷体" w:cs="楷体"/>
        </w:rPr>
        <w:t>(</w:t>
      </w:r>
      <w:r>
        <w:rPr>
          <w:rStyle w:val="15"/>
          <w:rFonts w:hint="eastAsia" w:ascii="楷体" w:hAnsi="楷体" w:eastAsia="楷体" w:cs="楷体"/>
        </w:rPr>
        <w:t>六</w:t>
      </w:r>
      <w:r>
        <w:rPr>
          <w:rStyle w:val="15"/>
          <w:rFonts w:ascii="楷体" w:hAnsi="楷体" w:eastAsia="楷体" w:cs="楷体"/>
        </w:rPr>
        <w:t>)</w:t>
      </w:r>
      <w:r>
        <w:rPr>
          <w:rStyle w:val="15"/>
          <w:rFonts w:hint="eastAsia" w:ascii="楷体" w:hAnsi="楷体" w:eastAsia="楷体" w:cs="楷体"/>
        </w:rPr>
        <w:t>评价指标体系设置</w:t>
      </w:r>
      <w:r>
        <w:tab/>
      </w:r>
      <w:r>
        <w:fldChar w:fldCharType="begin"/>
      </w:r>
      <w:r>
        <w:instrText xml:space="preserve"> PAGEREF _Toc167789380 \h </w:instrText>
      </w:r>
      <w:r>
        <w:fldChar w:fldCharType="separate"/>
      </w:r>
      <w:r>
        <w:t>7</w:t>
      </w:r>
      <w:r>
        <w:fldChar w:fldCharType="end"/>
      </w:r>
      <w:r>
        <w:fldChar w:fldCharType="end"/>
      </w:r>
    </w:p>
    <w:p>
      <w:pPr>
        <w:pStyle w:val="11"/>
        <w:tabs>
          <w:tab w:val="right" w:pos="8780"/>
        </w:tabs>
        <w:rPr>
          <w:kern w:val="2"/>
          <w:sz w:val="21"/>
        </w:rPr>
      </w:pPr>
      <w:r>
        <w:fldChar w:fldCharType="begin"/>
      </w:r>
      <w:r>
        <w:instrText xml:space="preserve">HYPERLINK  \l "_Toc167789381" </w:instrText>
      </w:r>
      <w:r>
        <w:fldChar w:fldCharType="separate"/>
      </w:r>
      <w:r>
        <w:rPr>
          <w:rStyle w:val="15"/>
          <w:rFonts w:ascii="楷体" w:hAnsi="楷体" w:eastAsia="楷体" w:cs="楷体"/>
        </w:rPr>
        <w:t>(</w:t>
      </w:r>
      <w:r>
        <w:rPr>
          <w:rStyle w:val="15"/>
          <w:rFonts w:hint="eastAsia" w:ascii="楷体" w:hAnsi="楷体" w:eastAsia="楷体" w:cs="楷体"/>
        </w:rPr>
        <w:t>七</w:t>
      </w:r>
      <w:r>
        <w:rPr>
          <w:rStyle w:val="15"/>
          <w:rFonts w:ascii="楷体" w:hAnsi="楷体" w:eastAsia="楷体" w:cs="楷体"/>
        </w:rPr>
        <w:t>)</w:t>
      </w:r>
      <w:r>
        <w:rPr>
          <w:rStyle w:val="15"/>
          <w:rFonts w:hint="eastAsia" w:ascii="楷体" w:hAnsi="楷体" w:eastAsia="楷体" w:cs="楷体"/>
        </w:rPr>
        <w:t>评价工作组织实施</w:t>
      </w:r>
      <w:r>
        <w:tab/>
      </w:r>
      <w:r>
        <w:fldChar w:fldCharType="begin"/>
      </w:r>
      <w:r>
        <w:instrText xml:space="preserve"> PAGEREF _Toc167789381 \h </w:instrText>
      </w:r>
      <w:r>
        <w:fldChar w:fldCharType="separate"/>
      </w:r>
      <w:r>
        <w:t>7</w:t>
      </w:r>
      <w:r>
        <w:fldChar w:fldCharType="end"/>
      </w:r>
      <w:r>
        <w:fldChar w:fldCharType="end"/>
      </w:r>
    </w:p>
    <w:p>
      <w:pPr>
        <w:pStyle w:val="10"/>
        <w:tabs>
          <w:tab w:val="right" w:pos="8780"/>
        </w:tabs>
        <w:rPr>
          <w:kern w:val="2"/>
          <w:sz w:val="21"/>
        </w:rPr>
      </w:pPr>
      <w:r>
        <w:fldChar w:fldCharType="begin"/>
      </w:r>
      <w:r>
        <w:instrText xml:space="preserve">HYPERLINK  \l "_Toc167789382" </w:instrText>
      </w:r>
      <w:r>
        <w:fldChar w:fldCharType="separate"/>
      </w:r>
      <w:r>
        <w:rPr>
          <w:rStyle w:val="15"/>
          <w:rFonts w:hint="eastAsia" w:ascii="黑体" w:hAnsi="黑体"/>
        </w:rPr>
        <w:t>三、综合评价情况及评价结论</w:t>
      </w:r>
      <w:r>
        <w:tab/>
      </w:r>
      <w:r>
        <w:fldChar w:fldCharType="begin"/>
      </w:r>
      <w:r>
        <w:instrText xml:space="preserve"> PAGEREF _Toc167789382 \h </w:instrText>
      </w:r>
      <w:r>
        <w:fldChar w:fldCharType="separate"/>
      </w:r>
      <w:r>
        <w:t>8</w:t>
      </w:r>
      <w:r>
        <w:fldChar w:fldCharType="end"/>
      </w:r>
      <w:r>
        <w:fldChar w:fldCharType="end"/>
      </w:r>
    </w:p>
    <w:p>
      <w:pPr>
        <w:pStyle w:val="11"/>
        <w:tabs>
          <w:tab w:val="right" w:pos="8780"/>
        </w:tabs>
        <w:rPr>
          <w:kern w:val="2"/>
          <w:sz w:val="21"/>
        </w:rPr>
      </w:pPr>
      <w:r>
        <w:fldChar w:fldCharType="begin"/>
      </w:r>
      <w:r>
        <w:instrText xml:space="preserve">HYPERLINK  \l "_Toc167789383" </w:instrText>
      </w:r>
      <w:r>
        <w:fldChar w:fldCharType="separate"/>
      </w:r>
      <w:r>
        <w:rPr>
          <w:rStyle w:val="15"/>
          <w:rFonts w:ascii="楷体" w:hAnsi="楷体" w:eastAsia="楷体" w:cs="楷体"/>
        </w:rPr>
        <w:t>(</w:t>
      </w:r>
      <w:r>
        <w:rPr>
          <w:rStyle w:val="15"/>
          <w:rFonts w:hint="eastAsia" w:ascii="楷体" w:hAnsi="楷体" w:eastAsia="楷体" w:cs="楷体"/>
        </w:rPr>
        <w:t>一</w:t>
      </w:r>
      <w:r>
        <w:rPr>
          <w:rStyle w:val="15"/>
          <w:rFonts w:ascii="楷体" w:hAnsi="楷体" w:eastAsia="楷体" w:cs="楷体"/>
        </w:rPr>
        <w:t>)</w:t>
      </w:r>
      <w:r>
        <w:rPr>
          <w:rStyle w:val="15"/>
          <w:rFonts w:hint="eastAsia" w:ascii="楷体" w:hAnsi="楷体" w:eastAsia="楷体" w:cs="楷体"/>
        </w:rPr>
        <w:t>综合评价情况</w:t>
      </w:r>
      <w:r>
        <w:tab/>
      </w:r>
      <w:r>
        <w:fldChar w:fldCharType="begin"/>
      </w:r>
      <w:r>
        <w:instrText xml:space="preserve"> PAGEREF _Toc167789383 \h </w:instrText>
      </w:r>
      <w:r>
        <w:fldChar w:fldCharType="separate"/>
      </w:r>
      <w:r>
        <w:t>8</w:t>
      </w:r>
      <w:r>
        <w:fldChar w:fldCharType="end"/>
      </w:r>
      <w:r>
        <w:fldChar w:fldCharType="end"/>
      </w:r>
    </w:p>
    <w:p>
      <w:pPr>
        <w:pStyle w:val="11"/>
        <w:tabs>
          <w:tab w:val="right" w:pos="8780"/>
        </w:tabs>
        <w:rPr>
          <w:kern w:val="2"/>
          <w:sz w:val="21"/>
        </w:rPr>
      </w:pPr>
      <w:r>
        <w:fldChar w:fldCharType="begin"/>
      </w:r>
      <w:r>
        <w:instrText xml:space="preserve">HYPERLINK  \l "_Toc167789384" </w:instrText>
      </w:r>
      <w:r>
        <w:fldChar w:fldCharType="separate"/>
      </w:r>
      <w:r>
        <w:rPr>
          <w:rStyle w:val="15"/>
          <w:rFonts w:ascii="楷体" w:hAnsi="楷体" w:eastAsia="楷体" w:cs="楷体"/>
        </w:rPr>
        <w:t>(</w:t>
      </w:r>
      <w:r>
        <w:rPr>
          <w:rStyle w:val="15"/>
          <w:rFonts w:hint="eastAsia" w:ascii="楷体" w:hAnsi="楷体" w:eastAsia="楷体" w:cs="楷体"/>
        </w:rPr>
        <w:t>二</w:t>
      </w:r>
      <w:r>
        <w:rPr>
          <w:rStyle w:val="15"/>
          <w:rFonts w:ascii="楷体" w:hAnsi="楷体" w:eastAsia="楷体" w:cs="楷体"/>
        </w:rPr>
        <w:t>)</w:t>
      </w:r>
      <w:r>
        <w:rPr>
          <w:rStyle w:val="15"/>
          <w:rFonts w:hint="eastAsia" w:ascii="楷体" w:hAnsi="楷体" w:eastAsia="楷体" w:cs="楷体"/>
        </w:rPr>
        <w:t>评价结论</w:t>
      </w:r>
      <w:r>
        <w:tab/>
      </w:r>
      <w:r>
        <w:fldChar w:fldCharType="begin"/>
      </w:r>
      <w:r>
        <w:instrText xml:space="preserve"> PAGEREF _Toc167789384 \h </w:instrText>
      </w:r>
      <w:r>
        <w:fldChar w:fldCharType="separate"/>
      </w:r>
      <w:r>
        <w:t>9</w:t>
      </w:r>
      <w:r>
        <w:fldChar w:fldCharType="end"/>
      </w:r>
      <w:r>
        <w:fldChar w:fldCharType="end"/>
      </w:r>
    </w:p>
    <w:p>
      <w:pPr>
        <w:pStyle w:val="10"/>
        <w:tabs>
          <w:tab w:val="right" w:pos="8780"/>
        </w:tabs>
        <w:rPr>
          <w:kern w:val="2"/>
          <w:sz w:val="21"/>
        </w:rPr>
      </w:pPr>
      <w:r>
        <w:fldChar w:fldCharType="begin"/>
      </w:r>
      <w:r>
        <w:instrText xml:space="preserve">HYPERLINK  \l "_Toc167789385" </w:instrText>
      </w:r>
      <w:r>
        <w:fldChar w:fldCharType="separate"/>
      </w:r>
      <w:r>
        <w:rPr>
          <w:rStyle w:val="15"/>
          <w:rFonts w:hint="eastAsia" w:ascii="黑体" w:hAnsi="黑体"/>
        </w:rPr>
        <w:t>四、绩效评价指标分析</w:t>
      </w:r>
      <w:r>
        <w:tab/>
      </w:r>
      <w:r>
        <w:fldChar w:fldCharType="begin"/>
      </w:r>
      <w:r>
        <w:instrText xml:space="preserve"> PAGEREF _Toc167789385 \h </w:instrText>
      </w:r>
      <w:r>
        <w:fldChar w:fldCharType="separate"/>
      </w:r>
      <w:r>
        <w:t>10</w:t>
      </w:r>
      <w:r>
        <w:fldChar w:fldCharType="end"/>
      </w:r>
      <w:r>
        <w:fldChar w:fldCharType="end"/>
      </w:r>
    </w:p>
    <w:p>
      <w:pPr>
        <w:pStyle w:val="11"/>
        <w:tabs>
          <w:tab w:val="right" w:pos="8780"/>
        </w:tabs>
        <w:rPr>
          <w:kern w:val="2"/>
          <w:sz w:val="21"/>
        </w:rPr>
      </w:pPr>
      <w:r>
        <w:fldChar w:fldCharType="begin"/>
      </w:r>
      <w:r>
        <w:instrText xml:space="preserve">HYPERLINK  \l "_Toc167789386" </w:instrText>
      </w:r>
      <w:r>
        <w:fldChar w:fldCharType="separate"/>
      </w:r>
      <w:r>
        <w:rPr>
          <w:rStyle w:val="15"/>
          <w:rFonts w:ascii="楷体" w:hAnsi="楷体" w:eastAsia="楷体" w:cs="楷体"/>
        </w:rPr>
        <w:t>(</w:t>
      </w:r>
      <w:r>
        <w:rPr>
          <w:rStyle w:val="15"/>
          <w:rFonts w:hint="eastAsia" w:ascii="楷体" w:hAnsi="楷体" w:eastAsia="楷体" w:cs="楷体"/>
        </w:rPr>
        <w:t>一</w:t>
      </w:r>
      <w:r>
        <w:rPr>
          <w:rStyle w:val="15"/>
          <w:rFonts w:ascii="楷体" w:hAnsi="楷体" w:eastAsia="楷体" w:cs="楷体"/>
        </w:rPr>
        <w:t>)</w:t>
      </w:r>
      <w:r>
        <w:rPr>
          <w:rStyle w:val="15"/>
          <w:rFonts w:hint="eastAsia" w:ascii="楷体" w:hAnsi="楷体" w:eastAsia="楷体" w:cs="楷体"/>
        </w:rPr>
        <w:t>项目决策情况</w:t>
      </w:r>
      <w:r>
        <w:tab/>
      </w:r>
      <w:r>
        <w:fldChar w:fldCharType="begin"/>
      </w:r>
      <w:r>
        <w:instrText xml:space="preserve"> PAGEREF _Toc167789386 \h </w:instrText>
      </w:r>
      <w:r>
        <w:fldChar w:fldCharType="separate"/>
      </w:r>
      <w:r>
        <w:t>10</w:t>
      </w:r>
      <w:r>
        <w:fldChar w:fldCharType="end"/>
      </w:r>
      <w:r>
        <w:fldChar w:fldCharType="end"/>
      </w:r>
    </w:p>
    <w:p>
      <w:pPr>
        <w:pStyle w:val="11"/>
        <w:tabs>
          <w:tab w:val="right" w:pos="8780"/>
        </w:tabs>
        <w:rPr>
          <w:kern w:val="2"/>
          <w:sz w:val="21"/>
        </w:rPr>
      </w:pPr>
      <w:r>
        <w:fldChar w:fldCharType="begin"/>
      </w:r>
      <w:r>
        <w:instrText xml:space="preserve">HYPERLINK  \l "_Toc167789387" </w:instrText>
      </w:r>
      <w:r>
        <w:fldChar w:fldCharType="separate"/>
      </w:r>
      <w:r>
        <w:rPr>
          <w:rStyle w:val="15"/>
          <w:rFonts w:ascii="楷体" w:hAnsi="楷体" w:eastAsia="楷体" w:cs="楷体"/>
        </w:rPr>
        <w:t>(</w:t>
      </w:r>
      <w:r>
        <w:rPr>
          <w:rStyle w:val="15"/>
          <w:rFonts w:hint="eastAsia" w:ascii="楷体" w:hAnsi="楷体" w:eastAsia="楷体" w:cs="楷体"/>
        </w:rPr>
        <w:t>二</w:t>
      </w:r>
      <w:r>
        <w:rPr>
          <w:rStyle w:val="15"/>
          <w:rFonts w:ascii="楷体" w:hAnsi="楷体" w:eastAsia="楷体" w:cs="楷体"/>
        </w:rPr>
        <w:t>)</w:t>
      </w:r>
      <w:r>
        <w:rPr>
          <w:rStyle w:val="15"/>
          <w:rFonts w:hint="eastAsia" w:ascii="楷体" w:hAnsi="楷体" w:eastAsia="楷体" w:cs="楷体"/>
        </w:rPr>
        <w:t>项目过程情况</w:t>
      </w:r>
      <w:r>
        <w:tab/>
      </w:r>
      <w:r>
        <w:fldChar w:fldCharType="begin"/>
      </w:r>
      <w:r>
        <w:instrText xml:space="preserve"> PAGEREF _Toc167789387 \h </w:instrText>
      </w:r>
      <w:r>
        <w:fldChar w:fldCharType="separate"/>
      </w:r>
      <w:r>
        <w:t>12</w:t>
      </w:r>
      <w:r>
        <w:fldChar w:fldCharType="end"/>
      </w:r>
      <w:r>
        <w:fldChar w:fldCharType="end"/>
      </w:r>
    </w:p>
    <w:p>
      <w:pPr>
        <w:pStyle w:val="11"/>
        <w:tabs>
          <w:tab w:val="right" w:pos="8780"/>
        </w:tabs>
        <w:rPr>
          <w:kern w:val="2"/>
          <w:sz w:val="21"/>
        </w:rPr>
      </w:pPr>
      <w:r>
        <w:fldChar w:fldCharType="begin"/>
      </w:r>
      <w:r>
        <w:instrText xml:space="preserve">HYPERLINK  \l "_Toc167789388" </w:instrText>
      </w:r>
      <w:r>
        <w:fldChar w:fldCharType="separate"/>
      </w:r>
      <w:r>
        <w:rPr>
          <w:rStyle w:val="15"/>
          <w:rFonts w:ascii="楷体" w:hAnsi="楷体" w:eastAsia="楷体" w:cs="楷体"/>
        </w:rPr>
        <w:t>(</w:t>
      </w:r>
      <w:r>
        <w:rPr>
          <w:rStyle w:val="15"/>
          <w:rFonts w:hint="eastAsia" w:ascii="楷体" w:hAnsi="楷体" w:eastAsia="楷体" w:cs="楷体"/>
        </w:rPr>
        <w:t>三</w:t>
      </w:r>
      <w:r>
        <w:rPr>
          <w:rStyle w:val="15"/>
          <w:rFonts w:ascii="楷体" w:hAnsi="楷体" w:eastAsia="楷体" w:cs="楷体"/>
        </w:rPr>
        <w:t>)</w:t>
      </w:r>
      <w:r>
        <w:rPr>
          <w:rStyle w:val="15"/>
          <w:rFonts w:hint="eastAsia" w:ascii="楷体" w:hAnsi="楷体" w:eastAsia="楷体" w:cs="楷体"/>
        </w:rPr>
        <w:t>项目产出情况</w:t>
      </w:r>
      <w:r>
        <w:tab/>
      </w:r>
      <w:r>
        <w:fldChar w:fldCharType="begin"/>
      </w:r>
      <w:r>
        <w:instrText xml:space="preserve"> PAGEREF _Toc167789388 \h </w:instrText>
      </w:r>
      <w:r>
        <w:fldChar w:fldCharType="separate"/>
      </w:r>
      <w:r>
        <w:t>14</w:t>
      </w:r>
      <w:r>
        <w:fldChar w:fldCharType="end"/>
      </w:r>
      <w:r>
        <w:fldChar w:fldCharType="end"/>
      </w:r>
    </w:p>
    <w:p>
      <w:pPr>
        <w:pStyle w:val="11"/>
        <w:tabs>
          <w:tab w:val="right" w:pos="8780"/>
        </w:tabs>
        <w:rPr>
          <w:kern w:val="2"/>
          <w:sz w:val="21"/>
        </w:rPr>
      </w:pPr>
      <w:r>
        <w:fldChar w:fldCharType="begin"/>
      </w:r>
      <w:r>
        <w:instrText xml:space="preserve">HYPERLINK  \l "_Toc167789389" </w:instrText>
      </w:r>
      <w:r>
        <w:fldChar w:fldCharType="separate"/>
      </w:r>
      <w:r>
        <w:rPr>
          <w:rStyle w:val="15"/>
          <w:rFonts w:ascii="楷体" w:hAnsi="楷体" w:eastAsia="楷体" w:cs="楷体"/>
        </w:rPr>
        <w:t>(</w:t>
      </w:r>
      <w:r>
        <w:rPr>
          <w:rStyle w:val="15"/>
          <w:rFonts w:hint="eastAsia" w:ascii="楷体" w:hAnsi="楷体" w:eastAsia="楷体" w:cs="楷体"/>
        </w:rPr>
        <w:t>四</w:t>
      </w:r>
      <w:r>
        <w:rPr>
          <w:rStyle w:val="15"/>
          <w:rFonts w:ascii="楷体" w:hAnsi="楷体" w:eastAsia="楷体" w:cs="楷体"/>
        </w:rPr>
        <w:t>)</w:t>
      </w:r>
      <w:r>
        <w:rPr>
          <w:rStyle w:val="15"/>
          <w:rFonts w:hint="eastAsia" w:ascii="楷体" w:hAnsi="楷体" w:eastAsia="楷体" w:cs="楷体"/>
        </w:rPr>
        <w:t>项目效益情况</w:t>
      </w:r>
      <w:r>
        <w:tab/>
      </w:r>
      <w:r>
        <w:fldChar w:fldCharType="begin"/>
      </w:r>
      <w:r>
        <w:instrText xml:space="preserve"> PAGEREF _Toc167789389 \h </w:instrText>
      </w:r>
      <w:r>
        <w:fldChar w:fldCharType="separate"/>
      </w:r>
      <w:r>
        <w:t>15</w:t>
      </w:r>
      <w:r>
        <w:fldChar w:fldCharType="end"/>
      </w:r>
      <w:r>
        <w:fldChar w:fldCharType="end"/>
      </w:r>
    </w:p>
    <w:p>
      <w:pPr>
        <w:pStyle w:val="10"/>
        <w:tabs>
          <w:tab w:val="right" w:pos="8780"/>
        </w:tabs>
        <w:rPr>
          <w:kern w:val="2"/>
          <w:sz w:val="21"/>
        </w:rPr>
      </w:pPr>
      <w:r>
        <w:fldChar w:fldCharType="begin"/>
      </w:r>
      <w:r>
        <w:instrText xml:space="preserve">HYPERLINK  \l "_Toc167789390" </w:instrText>
      </w:r>
      <w:r>
        <w:fldChar w:fldCharType="separate"/>
      </w:r>
      <w:r>
        <w:rPr>
          <w:rStyle w:val="15"/>
          <w:rFonts w:hint="eastAsia" w:ascii="黑体" w:hAnsi="黑体"/>
        </w:rPr>
        <w:t>五、主要经验及做法</w:t>
      </w:r>
      <w:r>
        <w:tab/>
      </w:r>
      <w:r>
        <w:fldChar w:fldCharType="begin"/>
      </w:r>
      <w:r>
        <w:instrText xml:space="preserve"> PAGEREF _Toc167789390 \h </w:instrText>
      </w:r>
      <w:r>
        <w:fldChar w:fldCharType="separate"/>
      </w:r>
      <w:r>
        <w:t>17</w:t>
      </w:r>
      <w:r>
        <w:fldChar w:fldCharType="end"/>
      </w:r>
      <w:r>
        <w:fldChar w:fldCharType="end"/>
      </w:r>
    </w:p>
    <w:p>
      <w:pPr>
        <w:pStyle w:val="10"/>
        <w:tabs>
          <w:tab w:val="right" w:pos="8780"/>
        </w:tabs>
        <w:rPr>
          <w:kern w:val="2"/>
          <w:sz w:val="21"/>
        </w:rPr>
      </w:pPr>
      <w:r>
        <w:fldChar w:fldCharType="begin"/>
      </w:r>
      <w:r>
        <w:instrText xml:space="preserve">HYPERLINK  \l "_Toc167789391" </w:instrText>
      </w:r>
      <w:r>
        <w:fldChar w:fldCharType="separate"/>
      </w:r>
      <w:r>
        <w:rPr>
          <w:rStyle w:val="15"/>
          <w:rFonts w:hint="eastAsia" w:ascii="黑体" w:hAnsi="黑体"/>
        </w:rPr>
        <w:t>六、不足及改进建议</w:t>
      </w:r>
      <w:r>
        <w:tab/>
      </w:r>
      <w:r>
        <w:fldChar w:fldCharType="begin"/>
      </w:r>
      <w:r>
        <w:instrText xml:space="preserve"> PAGEREF _Toc167789391 \h </w:instrText>
      </w:r>
      <w:r>
        <w:fldChar w:fldCharType="separate"/>
      </w:r>
      <w:r>
        <w:t>18</w:t>
      </w:r>
      <w:r>
        <w:fldChar w:fldCharType="end"/>
      </w:r>
      <w:r>
        <w:fldChar w:fldCharType="end"/>
      </w:r>
    </w:p>
    <w:p>
      <w:pPr>
        <w:pStyle w:val="10"/>
        <w:tabs>
          <w:tab w:val="right" w:pos="8780"/>
        </w:tabs>
        <w:rPr>
          <w:kern w:val="2"/>
          <w:sz w:val="21"/>
        </w:rPr>
      </w:pPr>
      <w:r>
        <w:fldChar w:fldCharType="begin"/>
      </w:r>
      <w:r>
        <w:instrText xml:space="preserve">HYPERLINK  \l "_Toc167789392" </w:instrText>
      </w:r>
      <w:r>
        <w:fldChar w:fldCharType="separate"/>
      </w:r>
      <w:r>
        <w:rPr>
          <w:rStyle w:val="15"/>
          <w:rFonts w:hint="eastAsia" w:ascii="黑体" w:hAnsi="黑体"/>
        </w:rPr>
        <w:t>七、有关建议</w:t>
      </w:r>
      <w:r>
        <w:tab/>
      </w:r>
      <w:r>
        <w:fldChar w:fldCharType="begin"/>
      </w:r>
      <w:r>
        <w:instrText xml:space="preserve"> PAGEREF _Toc167789392 \h </w:instrText>
      </w:r>
      <w:r>
        <w:fldChar w:fldCharType="separate"/>
      </w:r>
      <w:r>
        <w:t>18</w:t>
      </w:r>
      <w:r>
        <w:fldChar w:fldCharType="end"/>
      </w:r>
      <w:r>
        <w:fldChar w:fldCharType="end"/>
      </w:r>
    </w:p>
    <w:p>
      <w:pPr>
        <w:pStyle w:val="10"/>
        <w:tabs>
          <w:tab w:val="right" w:pos="8780"/>
        </w:tabs>
        <w:rPr>
          <w:kern w:val="2"/>
          <w:sz w:val="21"/>
        </w:rPr>
      </w:pPr>
      <w:r>
        <w:fldChar w:fldCharType="begin"/>
      </w:r>
      <w:r>
        <w:instrText xml:space="preserve">HYPERLINK  \l "_Toc167789393" </w:instrText>
      </w:r>
      <w:r>
        <w:fldChar w:fldCharType="separate"/>
      </w:r>
      <w:r>
        <w:rPr>
          <w:rStyle w:val="15"/>
          <w:rFonts w:hint="eastAsia" w:ascii="黑体" w:hAnsi="黑体"/>
        </w:rPr>
        <w:t>八、其他需要说明的问题</w:t>
      </w:r>
      <w:r>
        <w:tab/>
      </w:r>
      <w:r>
        <w:fldChar w:fldCharType="begin"/>
      </w:r>
      <w:r>
        <w:instrText xml:space="preserve"> PAGEREF _Toc167789393 \h </w:instrText>
      </w:r>
      <w:r>
        <w:fldChar w:fldCharType="separate"/>
      </w:r>
      <w:r>
        <w:t>19</w:t>
      </w:r>
      <w:r>
        <w:fldChar w:fldCharType="end"/>
      </w:r>
      <w:r>
        <w:fldChar w:fldCharType="end"/>
      </w:r>
    </w:p>
    <w:p>
      <w:pPr>
        <w:spacing w:line="540" w:lineRule="exact"/>
        <w:rPr>
          <w:sz w:val="28"/>
          <w:lang w:eastAsia="zh-CN"/>
        </w:rPr>
      </w:pPr>
      <w:r>
        <w:rPr>
          <w:szCs w:val="32"/>
          <w:lang w:eastAsia="zh-CN"/>
        </w:rPr>
        <w:fldChar w:fldCharType="end"/>
      </w:r>
    </w:p>
    <w:p>
      <w:pPr>
        <w:pStyle w:val="5"/>
        <w:spacing w:beforeLines="50" w:line="600" w:lineRule="exact"/>
        <w:ind w:right="244" w:firstLine="800" w:firstLineChars="250"/>
        <w:jc w:val="both"/>
        <w:rPr>
          <w:lang w:eastAsia="zh-CN"/>
        </w:rPr>
      </w:pPr>
      <w:r>
        <w:rPr>
          <w:rFonts w:ascii="仿宋" w:hAnsi="仿宋" w:eastAsia="仿宋" w:cs="仿宋"/>
          <w:sz w:val="32"/>
          <w:szCs w:val="32"/>
          <w:lang w:val="en-US" w:eastAsia="zh-CN" w:bidi="ar-SA"/>
        </w:rPr>
        <w:pict>
          <v:shape id="图片 1" o:spid="_x0000_s1027" o:spt="75" type="#_x0000_t75" style="position:absolute;left:0pt;margin-left:0.45pt;margin-top:11pt;height:51.6pt;width:443.25pt;mso-wrap-distance-bottom:0pt;mso-wrap-distance-left:9pt;mso-wrap-distance-right:9pt;mso-wrap-distance-top:0pt;z-index:251659264;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w10:wrap type="square"/>
          </v:shape>
        </w:pict>
      </w:r>
      <w:r>
        <w:rPr>
          <w:lang w:eastAsia="zh-CN"/>
        </w:rPr>
        <w:t>为评价 2023 年度海南省商务厅“</w:t>
      </w:r>
      <w:r>
        <w:rPr>
          <w:rFonts w:hint="eastAsia"/>
          <w:lang w:eastAsia="zh-CN"/>
        </w:rPr>
        <w:t>促消费活动消费券</w:t>
      </w:r>
      <w:r>
        <w:rPr>
          <w:lang w:eastAsia="zh-CN"/>
        </w:rPr>
        <w:t>” 项目支出资金使用绩效，海南省商务厅委托我所对 “</w:t>
      </w:r>
      <w:r>
        <w:rPr>
          <w:rFonts w:hint="eastAsia"/>
          <w:lang w:eastAsia="zh-CN"/>
        </w:rPr>
        <w:t>促消费活动消费券</w:t>
      </w:r>
      <w:r>
        <w:rPr>
          <w:lang w:eastAsia="zh-CN"/>
        </w:rPr>
        <w:t>”项目进行绩效评价。我所经过书面评价、现场核查与综合分析评价，最终得出评价结论并形成本绩效评价报告。</w:t>
      </w:r>
    </w:p>
    <w:p>
      <w:pPr>
        <w:pStyle w:val="2"/>
        <w:spacing w:before="0" w:after="0" w:line="600" w:lineRule="exact"/>
        <w:ind w:firstLine="640" w:firstLineChars="200"/>
        <w:rPr>
          <w:rFonts w:ascii="黑体" w:hAnsi="黑体" w:cs="黑体"/>
          <w:b w:val="0"/>
          <w:bCs w:val="0"/>
          <w:lang w:eastAsia="zh-CN"/>
        </w:rPr>
      </w:pPr>
      <w:bookmarkStart w:id="15" w:name="_bookmark0"/>
      <w:bookmarkEnd w:id="15"/>
      <w:bookmarkStart w:id="16" w:name="_Toc167789372"/>
      <w:r>
        <w:rPr>
          <w:rFonts w:hint="eastAsia" w:ascii="黑体" w:hAnsi="黑体" w:cs="黑体"/>
          <w:b w:val="0"/>
          <w:bCs w:val="0"/>
          <w:lang w:eastAsia="zh-CN"/>
        </w:rPr>
        <w:t>一、项目基本情况</w:t>
      </w:r>
      <w:bookmarkEnd w:id="16"/>
    </w:p>
    <w:p>
      <w:pPr>
        <w:pStyle w:val="3"/>
        <w:spacing w:before="0" w:after="0" w:line="600" w:lineRule="exact"/>
        <w:ind w:firstLine="640" w:firstLineChars="200"/>
        <w:rPr>
          <w:rFonts w:ascii="楷体" w:hAnsi="楷体" w:eastAsia="楷体" w:cs="楷体"/>
          <w:b w:val="0"/>
          <w:bCs w:val="0"/>
          <w:lang w:eastAsia="zh-CN"/>
        </w:rPr>
      </w:pPr>
      <w:bookmarkStart w:id="17" w:name="_bookmark1"/>
      <w:bookmarkEnd w:id="17"/>
      <w:bookmarkStart w:id="18" w:name="_Toc167789373"/>
      <w:r>
        <w:rPr>
          <w:rFonts w:hint="eastAsia" w:ascii="楷体" w:hAnsi="楷体" w:eastAsia="楷体" w:cs="楷体"/>
          <w:b w:val="0"/>
          <w:bCs w:val="0"/>
          <w:lang w:eastAsia="zh-CN"/>
        </w:rPr>
        <w:t>(一)项目概况</w:t>
      </w:r>
      <w:bookmarkEnd w:id="18"/>
    </w:p>
    <w:p>
      <w:pPr>
        <w:pStyle w:val="5"/>
        <w:spacing w:line="600" w:lineRule="exact"/>
        <w:ind w:right="257" w:firstLine="608" w:firstLineChars="200"/>
        <w:jc w:val="both"/>
        <w:rPr>
          <w:spacing w:val="-8"/>
          <w:lang w:eastAsia="zh-CN"/>
        </w:rPr>
      </w:pPr>
      <w:r>
        <w:rPr>
          <w:rFonts w:hint="eastAsia"/>
          <w:spacing w:val="-8"/>
          <w:lang w:eastAsia="zh-CN"/>
        </w:rPr>
        <w:t>1.</w:t>
      </w:r>
      <w:r>
        <w:rPr>
          <w:spacing w:val="-8"/>
          <w:lang w:eastAsia="zh-CN"/>
        </w:rPr>
        <w:t>项目背景</w:t>
      </w:r>
    </w:p>
    <w:p>
      <w:pPr>
        <w:pStyle w:val="5"/>
        <w:spacing w:line="600" w:lineRule="exact"/>
        <w:ind w:right="257" w:firstLine="608" w:firstLineChars="200"/>
        <w:jc w:val="both"/>
        <w:rPr>
          <w:spacing w:val="-8"/>
          <w:lang w:eastAsia="zh-CN"/>
        </w:rPr>
      </w:pPr>
      <w:r>
        <w:rPr>
          <w:rFonts w:hint="eastAsia"/>
          <w:spacing w:val="-8"/>
          <w:lang w:eastAsia="zh-CN"/>
        </w:rPr>
        <w:t>为深入贯彻党的二十大精神，全面落实中央经济工作会议部署，以及海南省委、省政府恢复和扩大消费工作要求，以提振消费为主线，稳定消费预期，增强消费信心，释放消费潜力，全力以赴完成2023年全年社会消费品零售总额增长目标，海南省商务厅决定实施2023年促消费活动消费券项目。</w:t>
      </w:r>
    </w:p>
    <w:p>
      <w:pPr>
        <w:pStyle w:val="5"/>
        <w:spacing w:line="600" w:lineRule="exact"/>
        <w:ind w:right="257" w:firstLine="608" w:firstLineChars="200"/>
        <w:jc w:val="both"/>
        <w:rPr>
          <w:spacing w:val="-8"/>
          <w:lang w:eastAsia="zh-CN"/>
        </w:rPr>
      </w:pPr>
      <w:r>
        <w:rPr>
          <w:rFonts w:hint="eastAsia"/>
          <w:spacing w:val="-8"/>
          <w:lang w:eastAsia="zh-CN"/>
        </w:rPr>
        <w:t>2.实施内容及实施情况</w:t>
      </w:r>
    </w:p>
    <w:p>
      <w:pPr>
        <w:pStyle w:val="5"/>
        <w:spacing w:line="600" w:lineRule="exact"/>
        <w:ind w:right="257" w:firstLine="608" w:firstLineChars="200"/>
        <w:jc w:val="both"/>
        <w:rPr>
          <w:spacing w:val="-8"/>
          <w:lang w:eastAsia="zh-CN"/>
        </w:rPr>
      </w:pPr>
      <w:r>
        <w:rPr>
          <w:rFonts w:hint="eastAsia"/>
          <w:spacing w:val="-8"/>
          <w:lang w:eastAsia="zh-CN"/>
        </w:rPr>
        <w:t>2023年促消费活动消费券项目实施内容是发放海南省政府离岛免税消费券。消费券共发放3,000万元，发放工作分两期进行，第一期消费券1,000万元发放时间为</w:t>
      </w:r>
      <w:r>
        <w:rPr>
          <w:spacing w:val="-8"/>
          <w:lang w:eastAsia="zh-CN"/>
        </w:rPr>
        <w:t>2023年6</w:t>
      </w:r>
      <w:r>
        <w:rPr>
          <w:rFonts w:hint="eastAsia"/>
          <w:spacing w:val="-8"/>
          <w:lang w:eastAsia="zh-CN"/>
        </w:rPr>
        <w:t>月</w:t>
      </w:r>
      <w:r>
        <w:rPr>
          <w:spacing w:val="-8"/>
          <w:lang w:eastAsia="zh-CN"/>
        </w:rPr>
        <w:t>22</w:t>
      </w:r>
      <w:r>
        <w:rPr>
          <w:rFonts w:hint="eastAsia"/>
          <w:spacing w:val="-8"/>
          <w:lang w:eastAsia="zh-CN"/>
        </w:rPr>
        <w:t>日</w:t>
      </w:r>
      <w:r>
        <w:rPr>
          <w:spacing w:val="-8"/>
          <w:lang w:eastAsia="zh-CN"/>
        </w:rPr>
        <w:t>-2023年7</w:t>
      </w:r>
      <w:r>
        <w:rPr>
          <w:rFonts w:hint="eastAsia"/>
          <w:spacing w:val="-8"/>
          <w:lang w:eastAsia="zh-CN"/>
        </w:rPr>
        <w:t>月</w:t>
      </w:r>
      <w:r>
        <w:rPr>
          <w:spacing w:val="-8"/>
          <w:lang w:eastAsia="zh-CN"/>
        </w:rPr>
        <w:t>12</w:t>
      </w:r>
      <w:r>
        <w:rPr>
          <w:rFonts w:hint="eastAsia"/>
          <w:spacing w:val="-8"/>
          <w:lang w:eastAsia="zh-CN"/>
        </w:rPr>
        <w:t>日，第二期消费券2,000万元发放时间为</w:t>
      </w:r>
      <w:r>
        <w:rPr>
          <w:spacing w:val="-8"/>
          <w:lang w:eastAsia="zh-CN"/>
        </w:rPr>
        <w:t>2023年7</w:t>
      </w:r>
      <w:r>
        <w:rPr>
          <w:rFonts w:hint="eastAsia"/>
          <w:spacing w:val="-8"/>
          <w:lang w:eastAsia="zh-CN"/>
        </w:rPr>
        <w:t>月</w:t>
      </w:r>
      <w:r>
        <w:rPr>
          <w:spacing w:val="-8"/>
          <w:lang w:eastAsia="zh-CN"/>
        </w:rPr>
        <w:t>4</w:t>
      </w:r>
      <w:r>
        <w:rPr>
          <w:rFonts w:hint="eastAsia"/>
          <w:spacing w:val="-8"/>
          <w:lang w:eastAsia="zh-CN"/>
        </w:rPr>
        <w:t>日</w:t>
      </w:r>
      <w:r>
        <w:rPr>
          <w:spacing w:val="-8"/>
          <w:lang w:eastAsia="zh-CN"/>
        </w:rPr>
        <w:t>-2023年7</w:t>
      </w:r>
      <w:r>
        <w:rPr>
          <w:rFonts w:hint="eastAsia"/>
          <w:spacing w:val="-8"/>
          <w:lang w:eastAsia="zh-CN"/>
        </w:rPr>
        <w:t>月</w:t>
      </w:r>
      <w:r>
        <w:rPr>
          <w:spacing w:val="-8"/>
          <w:lang w:eastAsia="zh-CN"/>
        </w:rPr>
        <w:t>21</w:t>
      </w:r>
      <w:r>
        <w:rPr>
          <w:rFonts w:hint="eastAsia"/>
          <w:spacing w:val="-8"/>
          <w:lang w:eastAsia="zh-CN"/>
        </w:rPr>
        <w:t>日。</w:t>
      </w:r>
    </w:p>
    <w:p>
      <w:pPr>
        <w:pStyle w:val="5"/>
        <w:spacing w:line="600" w:lineRule="exact"/>
        <w:ind w:right="257" w:firstLine="608" w:firstLineChars="200"/>
        <w:jc w:val="both"/>
        <w:rPr>
          <w:spacing w:val="-8"/>
          <w:lang w:eastAsia="zh-CN"/>
        </w:rPr>
      </w:pPr>
      <w:r>
        <w:rPr>
          <w:spacing w:val="-8"/>
          <w:lang w:eastAsia="zh-CN"/>
        </w:rPr>
        <w:t>3,000万</w:t>
      </w:r>
      <w:r>
        <w:rPr>
          <w:rFonts w:hint="eastAsia"/>
          <w:spacing w:val="-8"/>
          <w:lang w:eastAsia="zh-CN"/>
        </w:rPr>
        <w:t>海南省政府离岛免税消费券于</w:t>
      </w:r>
      <w:r>
        <w:rPr>
          <w:rFonts w:hint="eastAsia"/>
          <w:spacing w:val="-1"/>
          <w:lang w:eastAsia="zh-CN"/>
        </w:rPr>
        <w:t>2023年10月11日全部核销完毕，</w:t>
      </w:r>
      <w:r>
        <w:rPr>
          <w:spacing w:val="-8"/>
          <w:lang w:eastAsia="zh-CN"/>
        </w:rPr>
        <w:t>共核销2,949.72万元，核销率98.32%。使用消费券直接购物金额达7.86亿元，拉动系数为26.6，有效推动了</w:t>
      </w:r>
      <w:r>
        <w:rPr>
          <w:rFonts w:hint="eastAsia"/>
          <w:spacing w:val="-8"/>
          <w:lang w:eastAsia="zh-CN"/>
        </w:rPr>
        <w:t>海南省离岛免税消费</w:t>
      </w:r>
      <w:r>
        <w:rPr>
          <w:spacing w:val="-8"/>
          <w:lang w:eastAsia="zh-CN"/>
        </w:rPr>
        <w:t>，激活了消费市场，</w:t>
      </w:r>
      <w:r>
        <w:rPr>
          <w:rFonts w:hint="eastAsia"/>
          <w:spacing w:val="-8"/>
          <w:lang w:eastAsia="zh-CN"/>
        </w:rPr>
        <w:t>经济</w:t>
      </w:r>
      <w:r>
        <w:rPr>
          <w:spacing w:val="-8"/>
          <w:lang w:eastAsia="zh-CN"/>
        </w:rPr>
        <w:t>效益明显。</w:t>
      </w:r>
    </w:p>
    <w:p>
      <w:pPr>
        <w:pStyle w:val="5"/>
        <w:spacing w:line="600" w:lineRule="exact"/>
        <w:ind w:right="257" w:firstLine="608" w:firstLineChars="200"/>
        <w:jc w:val="both"/>
        <w:rPr>
          <w:spacing w:val="-8"/>
          <w:lang w:eastAsia="zh-CN"/>
        </w:rPr>
      </w:pPr>
      <w:r>
        <w:rPr>
          <w:rFonts w:hint="eastAsia"/>
          <w:spacing w:val="-8"/>
          <w:lang w:eastAsia="zh-CN"/>
        </w:rPr>
        <w:t>3.项目资金投入和使用情况</w:t>
      </w:r>
    </w:p>
    <w:p>
      <w:pPr>
        <w:pStyle w:val="5"/>
        <w:spacing w:line="600" w:lineRule="exact"/>
        <w:ind w:right="257" w:firstLine="608" w:firstLineChars="200"/>
        <w:jc w:val="both"/>
        <w:rPr>
          <w:spacing w:val="-8"/>
          <w:lang w:eastAsia="zh-CN"/>
        </w:rPr>
      </w:pPr>
      <w:r>
        <w:rPr>
          <w:rFonts w:hint="eastAsia"/>
          <w:spacing w:val="-8"/>
          <w:lang w:eastAsia="zh-CN"/>
        </w:rPr>
        <w:t>2023年促消费活动消费券项目</w:t>
      </w:r>
      <w:r>
        <w:rPr>
          <w:spacing w:val="-8"/>
          <w:lang w:eastAsia="zh-CN"/>
        </w:rPr>
        <w:t>全年预算</w:t>
      </w:r>
      <w:r>
        <w:rPr>
          <w:rFonts w:hint="eastAsia"/>
          <w:spacing w:val="-8"/>
          <w:lang w:eastAsia="zh-CN"/>
        </w:rPr>
        <w:t>金额3,000.00</w:t>
      </w:r>
      <w:r>
        <w:rPr>
          <w:spacing w:val="-8"/>
          <w:lang w:eastAsia="zh-CN"/>
        </w:rPr>
        <w:t>万元，到位资金</w:t>
      </w:r>
      <w:r>
        <w:rPr>
          <w:rFonts w:hint="eastAsia"/>
          <w:spacing w:val="-8"/>
          <w:lang w:eastAsia="zh-CN"/>
        </w:rPr>
        <w:t>3,000.00</w:t>
      </w:r>
      <w:r>
        <w:rPr>
          <w:spacing w:val="-8"/>
          <w:lang w:eastAsia="zh-CN"/>
        </w:rPr>
        <w:t>万元，</w:t>
      </w:r>
      <w:r>
        <w:rPr>
          <w:rFonts w:hint="eastAsia"/>
          <w:spacing w:val="-8"/>
          <w:lang w:eastAsia="zh-CN"/>
        </w:rPr>
        <w:t>支</w:t>
      </w:r>
      <w:r>
        <w:rPr>
          <w:spacing w:val="-8"/>
          <w:lang w:eastAsia="zh-CN"/>
        </w:rPr>
        <w:t>出2,949.73万元，</w:t>
      </w:r>
      <w:r>
        <w:rPr>
          <w:rFonts w:hint="eastAsia"/>
          <w:spacing w:val="-8"/>
          <w:lang w:eastAsia="zh-CN"/>
        </w:rPr>
        <w:t>结余资金</w:t>
      </w:r>
      <w:r>
        <w:rPr>
          <w:spacing w:val="-8"/>
          <w:lang w:eastAsia="zh-CN"/>
        </w:rPr>
        <w:t>50.27万元，</w:t>
      </w:r>
      <w:r>
        <w:rPr>
          <w:rFonts w:hint="eastAsia"/>
          <w:spacing w:val="-8"/>
          <w:lang w:eastAsia="zh-CN"/>
        </w:rPr>
        <w:t>结余资金</w:t>
      </w:r>
      <w:r>
        <w:rPr>
          <w:spacing w:val="-8"/>
          <w:lang w:eastAsia="zh-CN"/>
        </w:rPr>
        <w:t>已退回海南省商务厅银行账户。资金来源为省级财政资金。</w:t>
      </w:r>
    </w:p>
    <w:p>
      <w:pPr>
        <w:pStyle w:val="2"/>
        <w:spacing w:before="0" w:after="0" w:line="600" w:lineRule="exact"/>
        <w:ind w:firstLine="640" w:firstLineChars="200"/>
        <w:rPr>
          <w:rFonts w:ascii="黑体" w:hAnsi="黑体" w:cs="黑体"/>
          <w:b w:val="0"/>
          <w:bCs w:val="0"/>
          <w:lang w:eastAsia="zh-CN"/>
        </w:rPr>
      </w:pPr>
      <w:bookmarkStart w:id="19" w:name="_bookmark3"/>
      <w:bookmarkEnd w:id="19"/>
      <w:bookmarkStart w:id="20" w:name="_Toc167789374"/>
      <w:r>
        <w:rPr>
          <w:rFonts w:hint="eastAsia" w:ascii="黑体" w:hAnsi="黑体" w:cs="黑体"/>
          <w:b w:val="0"/>
          <w:bCs w:val="0"/>
          <w:lang w:eastAsia="zh-CN"/>
        </w:rPr>
        <w:t>二、绩效评价工作开展情况</w:t>
      </w:r>
      <w:bookmarkEnd w:id="20"/>
    </w:p>
    <w:p>
      <w:pPr>
        <w:pStyle w:val="3"/>
        <w:spacing w:before="0" w:after="0" w:line="600" w:lineRule="exact"/>
        <w:ind w:firstLine="640" w:firstLineChars="200"/>
        <w:rPr>
          <w:rFonts w:ascii="楷体" w:hAnsi="楷体" w:eastAsia="楷体" w:cs="楷体"/>
          <w:b w:val="0"/>
          <w:bCs w:val="0"/>
          <w:lang w:eastAsia="zh-CN"/>
        </w:rPr>
      </w:pPr>
      <w:bookmarkStart w:id="21" w:name="_bookmark4"/>
      <w:bookmarkEnd w:id="21"/>
      <w:bookmarkStart w:id="22" w:name="_Toc167789375"/>
      <w:r>
        <w:rPr>
          <w:rFonts w:hint="eastAsia" w:ascii="楷体" w:hAnsi="楷体" w:eastAsia="楷体" w:cs="楷体"/>
          <w:b w:val="0"/>
          <w:bCs w:val="0"/>
          <w:lang w:eastAsia="zh-CN"/>
        </w:rPr>
        <w:t>(一)评价目的</w:t>
      </w:r>
      <w:bookmarkEnd w:id="22"/>
    </w:p>
    <w:p>
      <w:pPr>
        <w:pStyle w:val="5"/>
        <w:spacing w:line="600" w:lineRule="exact"/>
        <w:ind w:right="257" w:firstLine="608" w:firstLineChars="200"/>
        <w:jc w:val="both"/>
        <w:rPr>
          <w:lang w:eastAsia="zh-CN"/>
        </w:rPr>
      </w:pPr>
      <w:r>
        <w:rPr>
          <w:rFonts w:hint="eastAsia"/>
          <w:spacing w:val="-8"/>
          <w:lang w:eastAsia="zh-CN"/>
        </w:rPr>
        <w:t>为了客观评价本项目经费在</w:t>
      </w:r>
      <w:r>
        <w:rPr>
          <w:spacing w:val="-8"/>
          <w:lang w:eastAsia="zh-CN"/>
        </w:rPr>
        <w:t>202</w:t>
      </w:r>
      <w:r>
        <w:rPr>
          <w:rFonts w:hint="eastAsia"/>
          <w:spacing w:val="-8"/>
          <w:lang w:eastAsia="zh-CN"/>
        </w:rPr>
        <w:t>3</w:t>
      </w:r>
      <w:r>
        <w:rPr>
          <w:spacing w:val="-8"/>
          <w:lang w:eastAsia="zh-CN"/>
        </w:rPr>
        <w:t>年度的使用情况，衡量一个完整财政年度内项目支出的整体绩效，我们从资金使用的经济性、效率性、效果性和公平性等方面对项目执行情况进行客观、公正的综合评判。</w:t>
      </w:r>
      <w:r>
        <w:rPr>
          <w:spacing w:val="-5"/>
          <w:lang w:eastAsia="zh-CN"/>
        </w:rPr>
        <w:t>通过本次绩效评价，旨在总结既有经验、分析存在问题，强化部门预算绩效管理意识，促进被评价单位进一</w:t>
      </w:r>
      <w:r>
        <w:rPr>
          <w:spacing w:val="-6"/>
          <w:w w:val="95"/>
          <w:lang w:eastAsia="zh-CN"/>
        </w:rPr>
        <w:t>步提升预算绩效管理工作水平，强化支出责任，规范资金管</w:t>
      </w:r>
      <w:r>
        <w:rPr>
          <w:spacing w:val="-6"/>
          <w:lang w:eastAsia="zh-CN"/>
        </w:rPr>
        <w:t>理行为，提高财政资金使用效益。</w:t>
      </w:r>
    </w:p>
    <w:p>
      <w:pPr>
        <w:pStyle w:val="3"/>
        <w:spacing w:before="0" w:after="0" w:line="600" w:lineRule="exact"/>
        <w:ind w:firstLine="640" w:firstLineChars="200"/>
        <w:rPr>
          <w:rFonts w:ascii="楷体" w:hAnsi="楷体" w:eastAsia="楷体" w:cs="楷体"/>
          <w:b w:val="0"/>
          <w:bCs w:val="0"/>
          <w:lang w:eastAsia="zh-CN"/>
        </w:rPr>
      </w:pPr>
      <w:bookmarkStart w:id="23" w:name="_bookmark5"/>
      <w:bookmarkEnd w:id="23"/>
      <w:bookmarkStart w:id="24" w:name="_Toc167789376"/>
      <w:r>
        <w:rPr>
          <w:rFonts w:hint="eastAsia" w:ascii="楷体" w:hAnsi="楷体" w:eastAsia="楷体" w:cs="楷体"/>
          <w:b w:val="0"/>
          <w:bCs w:val="0"/>
          <w:lang w:eastAsia="zh-CN"/>
        </w:rPr>
        <w:t>(二)评价对象和范围</w:t>
      </w:r>
      <w:bookmarkEnd w:id="24"/>
    </w:p>
    <w:p>
      <w:pPr>
        <w:spacing w:line="600" w:lineRule="exact"/>
        <w:ind w:firstLine="640" w:firstLineChars="200"/>
        <w:rPr>
          <w:bCs/>
          <w:lang w:eastAsia="zh-CN"/>
        </w:rPr>
      </w:pPr>
      <w:r>
        <w:rPr>
          <w:bCs/>
          <w:lang w:eastAsia="zh-CN"/>
        </w:rPr>
        <w:t>1.评价对象和范围</w:t>
      </w:r>
    </w:p>
    <w:p>
      <w:pPr>
        <w:pStyle w:val="5"/>
        <w:spacing w:line="600" w:lineRule="exact"/>
        <w:ind w:right="257" w:firstLine="608" w:firstLineChars="200"/>
        <w:jc w:val="both"/>
        <w:rPr>
          <w:spacing w:val="-8"/>
          <w:lang w:eastAsia="zh-CN"/>
        </w:rPr>
      </w:pPr>
      <w:r>
        <w:rPr>
          <w:spacing w:val="-8"/>
          <w:lang w:eastAsia="zh-CN"/>
        </w:rPr>
        <w:t>本次绩效评价对象为“</w:t>
      </w:r>
      <w:r>
        <w:rPr>
          <w:rFonts w:hint="eastAsia"/>
          <w:spacing w:val="-8"/>
          <w:lang w:eastAsia="zh-CN"/>
        </w:rPr>
        <w:t>促消费活动消费券项目</w:t>
      </w:r>
      <w:r>
        <w:rPr>
          <w:spacing w:val="-8"/>
          <w:lang w:eastAsia="zh-CN"/>
        </w:rPr>
        <w:t>”，</w:t>
      </w:r>
      <w:r>
        <w:rPr>
          <w:rFonts w:hint="eastAsia"/>
          <w:spacing w:val="-8"/>
          <w:lang w:eastAsia="zh-CN"/>
        </w:rPr>
        <w:t>该项目</w:t>
      </w:r>
      <w:r>
        <w:rPr>
          <w:spacing w:val="-8"/>
          <w:lang w:eastAsia="zh-CN"/>
        </w:rPr>
        <w:t>全年预算金额3,000.00万元。项目实施单位为海南省商务厅。</w:t>
      </w:r>
    </w:p>
    <w:p>
      <w:pPr>
        <w:pStyle w:val="3"/>
        <w:spacing w:before="0" w:after="0" w:line="600" w:lineRule="exact"/>
        <w:ind w:firstLine="640" w:firstLineChars="200"/>
        <w:rPr>
          <w:rFonts w:ascii="楷体" w:hAnsi="楷体" w:eastAsia="楷体" w:cs="楷体"/>
          <w:b w:val="0"/>
          <w:bCs w:val="0"/>
          <w:lang w:eastAsia="zh-CN"/>
        </w:rPr>
      </w:pPr>
      <w:bookmarkStart w:id="25" w:name="_bookmark6"/>
      <w:bookmarkEnd w:id="25"/>
      <w:bookmarkStart w:id="26" w:name="_Toc167789377"/>
      <w:r>
        <w:rPr>
          <w:rFonts w:hint="eastAsia" w:ascii="楷体" w:hAnsi="楷体" w:eastAsia="楷体" w:cs="楷体"/>
          <w:b w:val="0"/>
          <w:bCs w:val="0"/>
          <w:lang w:eastAsia="zh-CN"/>
        </w:rPr>
        <w:t>(三)项目绩效目标</w:t>
      </w:r>
      <w:bookmarkEnd w:id="26"/>
    </w:p>
    <w:p>
      <w:pPr>
        <w:pStyle w:val="24"/>
        <w:tabs>
          <w:tab w:val="left" w:pos="1183"/>
        </w:tabs>
        <w:spacing w:line="600" w:lineRule="exact"/>
        <w:ind w:left="0" w:firstLine="640" w:firstLineChars="200"/>
        <w:rPr>
          <w:bCs/>
          <w:lang w:eastAsia="zh-CN"/>
        </w:rPr>
      </w:pPr>
      <w:r>
        <w:rPr>
          <w:rFonts w:hint="eastAsia"/>
          <w:bCs/>
          <w:lang w:eastAsia="zh-CN"/>
        </w:rPr>
        <w:t>1.</w:t>
      </w:r>
      <w:r>
        <w:rPr>
          <w:bCs/>
          <w:lang w:eastAsia="zh-CN"/>
        </w:rPr>
        <w:t>项目总目标</w:t>
      </w:r>
    </w:p>
    <w:p>
      <w:pPr>
        <w:pStyle w:val="5"/>
        <w:spacing w:line="600" w:lineRule="exact"/>
        <w:ind w:right="260" w:firstLine="596" w:firstLineChars="200"/>
        <w:jc w:val="both"/>
        <w:rPr>
          <w:bCs/>
          <w:lang w:eastAsia="zh-CN"/>
        </w:rPr>
      </w:pPr>
      <w:r>
        <w:rPr>
          <w:rFonts w:hint="eastAsia"/>
          <w:bCs/>
          <w:spacing w:val="-3"/>
          <w:w w:val="95"/>
          <w:lang w:eastAsia="zh-CN"/>
        </w:rPr>
        <w:t>严格执行相关政策，保障促消费资金足额发放，预算编制科学合理，减少结余资金。</w:t>
      </w:r>
    </w:p>
    <w:p>
      <w:pPr>
        <w:pStyle w:val="23"/>
        <w:tabs>
          <w:tab w:val="left" w:pos="1183"/>
        </w:tabs>
        <w:spacing w:line="600" w:lineRule="exact"/>
        <w:ind w:left="0" w:firstLine="640" w:firstLineChars="200"/>
        <w:rPr>
          <w:rFonts w:ascii="仿宋" w:eastAsia="仿宋"/>
          <w:lang w:eastAsia="zh-CN"/>
        </w:rPr>
      </w:pPr>
      <w:r>
        <w:rPr>
          <w:rFonts w:hint="eastAsia" w:ascii="仿宋" w:eastAsia="仿宋"/>
          <w:b w:val="0"/>
          <w:lang w:eastAsia="zh-CN"/>
        </w:rPr>
        <w:t>2.绩效指标</w:t>
      </w:r>
    </w:p>
    <w:p>
      <w:pPr>
        <w:pStyle w:val="5"/>
        <w:spacing w:line="600" w:lineRule="exact"/>
        <w:ind w:right="257" w:firstLine="636" w:firstLineChars="200"/>
        <w:jc w:val="both"/>
        <w:rPr>
          <w:spacing w:val="-5"/>
          <w:lang w:eastAsia="zh-CN"/>
        </w:rPr>
      </w:pPr>
      <w:r>
        <w:rPr>
          <w:spacing w:val="-1"/>
          <w:lang w:eastAsia="zh-CN"/>
        </w:rPr>
        <w:t>海南省商务厅根据部门预算绩效管理工作要求，结合部门</w:t>
      </w:r>
      <w:r>
        <w:rPr>
          <w:spacing w:val="-4"/>
          <w:lang w:eastAsia="zh-CN"/>
        </w:rPr>
        <w:t>实际，将项目总目标细化分解</w:t>
      </w:r>
      <w:r>
        <w:rPr>
          <w:rFonts w:hint="eastAsia"/>
          <w:spacing w:val="-4"/>
          <w:lang w:eastAsia="zh-CN"/>
        </w:rPr>
        <w:t>，</w:t>
      </w:r>
      <w:r>
        <w:rPr>
          <w:rFonts w:hint="eastAsia"/>
          <w:spacing w:val="-5"/>
          <w:lang w:eastAsia="zh-CN"/>
        </w:rPr>
        <w:t>绩效指标设定及指标完成情况如下：</w:t>
      </w:r>
    </w:p>
    <w:tbl>
      <w:tblPr>
        <w:tblStyle w:val="13"/>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2"/>
        <w:gridCol w:w="1463"/>
        <w:gridCol w:w="2698"/>
        <w:gridCol w:w="850"/>
        <w:gridCol w:w="1136"/>
        <w:gridCol w:w="85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一级指标</w:t>
            </w:r>
          </w:p>
        </w:tc>
        <w:tc>
          <w:tcPr>
            <w:tcW w:w="14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二级指标</w:t>
            </w:r>
          </w:p>
        </w:tc>
        <w:tc>
          <w:tcPr>
            <w:tcW w:w="269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三级指标</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指标</w:t>
            </w:r>
          </w:p>
          <w:p>
            <w:pPr>
              <w:widowControl/>
              <w:jc w:val="center"/>
              <w:rPr>
                <w:rFonts w:cs="宋体"/>
                <w:bCs/>
                <w:color w:val="000000"/>
                <w:sz w:val="28"/>
                <w:szCs w:val="28"/>
                <w:lang w:eastAsia="zh-CN"/>
              </w:rPr>
            </w:pPr>
            <w:r>
              <w:rPr>
                <w:rFonts w:hint="eastAsia" w:cs="宋体"/>
                <w:bCs/>
                <w:color w:val="000000"/>
                <w:sz w:val="28"/>
                <w:szCs w:val="28"/>
                <w:lang w:eastAsia="zh-CN"/>
              </w:rPr>
              <w:t>性质</w:t>
            </w:r>
          </w:p>
        </w:tc>
        <w:tc>
          <w:tcPr>
            <w:tcW w:w="11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年度指标值</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度量单位</w:t>
            </w:r>
          </w:p>
        </w:tc>
        <w:tc>
          <w:tcPr>
            <w:tcW w:w="10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产出指标</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数量指标</w:t>
            </w:r>
          </w:p>
        </w:tc>
        <w:tc>
          <w:tcPr>
            <w:tcW w:w="269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足额保障率</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w:t>
            </w:r>
          </w:p>
        </w:tc>
        <w:tc>
          <w:tcPr>
            <w:tcW w:w="1136"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100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产出指标</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数量指标</w:t>
            </w:r>
          </w:p>
        </w:tc>
        <w:tc>
          <w:tcPr>
            <w:tcW w:w="269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科目调整次数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w:t>
            </w:r>
          </w:p>
        </w:tc>
        <w:tc>
          <w:tcPr>
            <w:tcW w:w="1136"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次</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效益指标</w:t>
            </w:r>
          </w:p>
        </w:tc>
        <w:tc>
          <w:tcPr>
            <w:tcW w:w="1463"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经济效益指标</w:t>
            </w:r>
          </w:p>
        </w:tc>
        <w:tc>
          <w:tcPr>
            <w:tcW w:w="269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结余率=结余数/预算数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w:t>
            </w:r>
          </w:p>
        </w:tc>
        <w:tc>
          <w:tcPr>
            <w:tcW w:w="1136"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5</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cs="宋体"/>
                <w:bCs/>
                <w:color w:val="000000"/>
                <w:sz w:val="28"/>
                <w:szCs w:val="28"/>
                <w:lang w:eastAsia="zh-CN"/>
              </w:rPr>
            </w:pPr>
            <w:r>
              <w:rPr>
                <w:rFonts w:hint="eastAsia" w:cs="宋体"/>
                <w:bCs/>
                <w:color w:val="000000"/>
                <w:sz w:val="28"/>
                <w:szCs w:val="28"/>
                <w:lang w:eastAsia="zh-CN"/>
              </w:rPr>
              <w:t>1.7</w:t>
            </w:r>
          </w:p>
        </w:tc>
      </w:tr>
    </w:tbl>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3.评价基准日</w:t>
      </w:r>
    </w:p>
    <w:p>
      <w:pPr>
        <w:pStyle w:val="5"/>
        <w:spacing w:line="600" w:lineRule="exact"/>
        <w:ind w:right="257" w:firstLine="636" w:firstLineChars="200"/>
        <w:jc w:val="both"/>
        <w:rPr>
          <w:spacing w:val="-1"/>
          <w:lang w:eastAsia="zh-CN"/>
        </w:rPr>
      </w:pPr>
      <w:r>
        <w:rPr>
          <w:spacing w:val="-1"/>
          <w:lang w:eastAsia="zh-CN"/>
        </w:rPr>
        <w:t>2023 年 1 月 1 日至 2023 年 12 月 31 日。</w:t>
      </w:r>
      <w:bookmarkStart w:id="27" w:name="_bookmark7"/>
      <w:bookmarkEnd w:id="27"/>
    </w:p>
    <w:p>
      <w:pPr>
        <w:pStyle w:val="3"/>
        <w:spacing w:before="0" w:after="0" w:line="600" w:lineRule="exact"/>
        <w:ind w:firstLine="640" w:firstLineChars="200"/>
        <w:rPr>
          <w:rFonts w:ascii="仿宋" w:hAnsi="仿宋" w:eastAsia="仿宋"/>
          <w:lang w:eastAsia="zh-CN"/>
        </w:rPr>
      </w:pPr>
      <w:bookmarkStart w:id="28" w:name="_Toc167789378"/>
      <w:r>
        <w:rPr>
          <w:rFonts w:hint="eastAsia" w:ascii="楷体" w:hAnsi="楷体" w:eastAsia="楷体" w:cs="楷体"/>
          <w:b w:val="0"/>
          <w:bCs w:val="0"/>
          <w:lang w:eastAsia="zh-CN"/>
        </w:rPr>
        <w:t>(四)评价原则及方法</w:t>
      </w:r>
      <w:bookmarkEnd w:id="28"/>
    </w:p>
    <w:p>
      <w:pPr>
        <w:pStyle w:val="24"/>
        <w:tabs>
          <w:tab w:val="left" w:pos="1183"/>
        </w:tabs>
        <w:spacing w:line="600" w:lineRule="exact"/>
        <w:ind w:left="0" w:firstLine="640" w:firstLineChars="200"/>
        <w:rPr>
          <w:bCs/>
          <w:lang w:eastAsia="zh-CN"/>
        </w:rPr>
      </w:pPr>
      <w:r>
        <w:rPr>
          <w:rFonts w:hint="eastAsia"/>
          <w:bCs/>
          <w:lang w:eastAsia="zh-CN"/>
        </w:rPr>
        <w:t>1.</w:t>
      </w:r>
      <w:r>
        <w:rPr>
          <w:bCs/>
          <w:lang w:eastAsia="zh-CN"/>
        </w:rPr>
        <w:t>评价原则</w:t>
      </w:r>
    </w:p>
    <w:p>
      <w:pPr>
        <w:pStyle w:val="5"/>
        <w:spacing w:line="600" w:lineRule="exact"/>
        <w:ind w:right="257" w:firstLine="636" w:firstLineChars="200"/>
        <w:jc w:val="both"/>
        <w:rPr>
          <w:lang w:eastAsia="zh-CN"/>
        </w:rPr>
      </w:pPr>
      <w:r>
        <w:rPr>
          <w:spacing w:val="-1"/>
          <w:lang w:eastAsia="zh-CN"/>
        </w:rPr>
        <w:t>评价小组在评价过程中，坚持</w:t>
      </w:r>
      <w:r>
        <w:fldChar w:fldCharType="begin"/>
      </w:r>
      <w:r>
        <w:instrText xml:space="preserve">HYPERLINK "https://baike.baidu.com/item/ç§å­¦è§èåå" </w:instrText>
      </w:r>
      <w:r>
        <w:fldChar w:fldCharType="separate"/>
      </w:r>
      <w:r>
        <w:rPr>
          <w:lang w:eastAsia="zh-CN"/>
        </w:rPr>
        <w:t>科学公正</w:t>
      </w:r>
      <w:r>
        <w:fldChar w:fldCharType="end"/>
      </w:r>
      <w:r>
        <w:rPr>
          <w:spacing w:val="-3"/>
          <w:lang w:eastAsia="zh-CN"/>
        </w:rPr>
        <w:t>、统筹兼顾、激</w:t>
      </w:r>
      <w:r>
        <w:rPr>
          <w:spacing w:val="-5"/>
          <w:lang w:eastAsia="zh-CN"/>
        </w:rPr>
        <w:t>励约束和公开透明的原则，建立科学、合理的</w:t>
      </w:r>
      <w:r>
        <w:fldChar w:fldCharType="begin"/>
      </w:r>
      <w:r>
        <w:instrText xml:space="preserve">HYPERLINK "https://baike.baidu.com/item/è´¢æ¿æ¯åºç" </w:instrText>
      </w:r>
      <w:r>
        <w:fldChar w:fldCharType="separate"/>
      </w:r>
      <w:r>
        <w:rPr>
          <w:lang w:eastAsia="zh-CN"/>
        </w:rPr>
        <w:t>项目支</w:t>
      </w:r>
      <w:r>
        <w:fldChar w:fldCharType="end"/>
      </w:r>
      <w:r>
        <w:rPr>
          <w:spacing w:val="-2"/>
          <w:lang w:eastAsia="zh-CN"/>
        </w:rPr>
        <w:t>出绩效评价指标体系，并根据评价标准，运用适当的评价方</w:t>
      </w:r>
      <w:r>
        <w:rPr>
          <w:spacing w:val="-3"/>
          <w:w w:val="95"/>
          <w:lang w:eastAsia="zh-CN"/>
        </w:rPr>
        <w:t>法，对项目支出的经济性、效率性和效益性进行客观、公正</w:t>
      </w:r>
      <w:r>
        <w:rPr>
          <w:spacing w:val="-3"/>
          <w:lang w:eastAsia="zh-CN"/>
        </w:rPr>
        <w:t>的评价。</w:t>
      </w:r>
    </w:p>
    <w:p>
      <w:pPr>
        <w:pStyle w:val="23"/>
        <w:tabs>
          <w:tab w:val="left" w:pos="1183"/>
        </w:tabs>
        <w:spacing w:line="600" w:lineRule="exact"/>
        <w:ind w:left="0" w:firstLine="640" w:firstLineChars="200"/>
        <w:rPr>
          <w:rFonts w:ascii="仿宋" w:eastAsia="仿宋"/>
          <w:b w:val="0"/>
          <w:lang w:eastAsia="zh-CN"/>
        </w:rPr>
      </w:pPr>
      <w:r>
        <w:rPr>
          <w:rFonts w:hint="eastAsia" w:ascii="仿宋" w:eastAsia="仿宋"/>
          <w:b w:val="0"/>
          <w:lang w:eastAsia="zh-CN"/>
        </w:rPr>
        <w:t>2.评价方法</w:t>
      </w:r>
    </w:p>
    <w:p>
      <w:pPr>
        <w:pStyle w:val="5"/>
        <w:spacing w:line="600" w:lineRule="exact"/>
        <w:ind w:right="260" w:firstLine="628" w:firstLineChars="200"/>
        <w:jc w:val="both"/>
        <w:rPr>
          <w:lang w:eastAsia="zh-CN"/>
        </w:rPr>
      </w:pPr>
      <w:r>
        <w:rPr>
          <w:spacing w:val="-3"/>
          <w:lang w:eastAsia="zh-CN"/>
        </w:rPr>
        <w:t>为使评价结论科学合理、客观公正，评价方法主要采用</w:t>
      </w:r>
      <w:r>
        <w:rPr>
          <w:spacing w:val="-3"/>
          <w:w w:val="95"/>
          <w:lang w:eastAsia="zh-CN"/>
        </w:rPr>
        <w:t>成本效益分析法、目标结果比较法、因素分析法、公众评判</w:t>
      </w:r>
      <w:r>
        <w:rPr>
          <w:lang w:eastAsia="zh-CN"/>
        </w:rPr>
        <w:t>法等多种方法（</w:t>
      </w:r>
      <w:r>
        <w:rPr>
          <w:spacing w:val="-20"/>
          <w:lang w:eastAsia="zh-CN"/>
        </w:rPr>
        <w:t xml:space="preserve">详见表 </w:t>
      </w:r>
      <w:r>
        <w:rPr>
          <w:spacing w:val="3"/>
          <w:lang w:eastAsia="zh-CN"/>
        </w:rPr>
        <w:t>2）</w:t>
      </w:r>
      <w:r>
        <w:rPr>
          <w:lang w:eastAsia="zh-CN"/>
        </w:rPr>
        <w:t>；评价指标分析主要采用定量指标分析，并辅以部分定性分析。</w:t>
      </w:r>
    </w:p>
    <w:p>
      <w:pPr>
        <w:spacing w:line="600" w:lineRule="exact"/>
        <w:ind w:left="560" w:right="41"/>
        <w:jc w:val="center"/>
        <w:rPr>
          <w:sz w:val="28"/>
        </w:rPr>
      </w:pPr>
      <w:r>
        <w:rPr>
          <w:sz w:val="28"/>
        </w:rPr>
        <w:t>表 2 主要评价方法</w:t>
      </w:r>
    </w:p>
    <w:p>
      <w:pPr>
        <w:pStyle w:val="5"/>
        <w:spacing w:before="10"/>
        <w:rPr>
          <w:sz w:val="11"/>
        </w:rPr>
      </w:pPr>
    </w:p>
    <w:tbl>
      <w:tblPr>
        <w:tblStyle w:val="13"/>
        <w:tblW w:w="835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2078"/>
        <w:gridCol w:w="5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40" w:type="dxa"/>
            <w:vAlign w:val="center"/>
          </w:tcPr>
          <w:p>
            <w:pPr>
              <w:pStyle w:val="25"/>
              <w:spacing w:before="139"/>
              <w:ind w:right="31"/>
              <w:jc w:val="center"/>
              <w:rPr>
                <w:b/>
                <w:sz w:val="24"/>
              </w:rPr>
            </w:pPr>
            <w:r>
              <w:rPr>
                <w:b/>
                <w:sz w:val="24"/>
              </w:rPr>
              <w:t>序号</w:t>
            </w:r>
          </w:p>
        </w:tc>
        <w:tc>
          <w:tcPr>
            <w:tcW w:w="2078" w:type="dxa"/>
            <w:vAlign w:val="center"/>
          </w:tcPr>
          <w:p>
            <w:pPr>
              <w:pStyle w:val="25"/>
              <w:spacing w:before="139"/>
              <w:ind w:left="556"/>
              <w:rPr>
                <w:b/>
                <w:sz w:val="24"/>
              </w:rPr>
            </w:pPr>
            <w:r>
              <w:rPr>
                <w:b/>
                <w:sz w:val="24"/>
              </w:rPr>
              <w:t>评价方法</w:t>
            </w:r>
          </w:p>
        </w:tc>
        <w:tc>
          <w:tcPr>
            <w:tcW w:w="5532" w:type="dxa"/>
            <w:vAlign w:val="center"/>
          </w:tcPr>
          <w:p>
            <w:pPr>
              <w:pStyle w:val="25"/>
              <w:spacing w:before="139"/>
              <w:ind w:left="2261" w:right="2256"/>
              <w:jc w:val="center"/>
              <w:rPr>
                <w:b/>
                <w:sz w:val="24"/>
              </w:rPr>
            </w:pPr>
            <w:r>
              <w:rPr>
                <w:b/>
                <w:sz w:val="24"/>
              </w:rPr>
              <w:t>方法说明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40" w:type="dxa"/>
            <w:vAlign w:val="center"/>
          </w:tcPr>
          <w:p>
            <w:pPr>
              <w:pStyle w:val="25"/>
              <w:spacing w:before="4"/>
              <w:rPr>
                <w:sz w:val="26"/>
              </w:rPr>
            </w:pPr>
          </w:p>
          <w:p>
            <w:pPr>
              <w:pStyle w:val="25"/>
              <w:ind w:left="9"/>
              <w:jc w:val="center"/>
              <w:rPr>
                <w:sz w:val="24"/>
              </w:rPr>
            </w:pPr>
            <w:r>
              <w:rPr>
                <w:sz w:val="24"/>
              </w:rPr>
              <w:t>1</w:t>
            </w:r>
          </w:p>
        </w:tc>
        <w:tc>
          <w:tcPr>
            <w:tcW w:w="2078" w:type="dxa"/>
            <w:vAlign w:val="center"/>
          </w:tcPr>
          <w:p>
            <w:pPr>
              <w:pStyle w:val="25"/>
              <w:spacing w:before="4"/>
              <w:rPr>
                <w:sz w:val="26"/>
              </w:rPr>
            </w:pPr>
          </w:p>
          <w:p>
            <w:pPr>
              <w:pStyle w:val="25"/>
              <w:ind w:left="107"/>
              <w:rPr>
                <w:sz w:val="24"/>
              </w:rPr>
            </w:pPr>
            <w:r>
              <w:rPr>
                <w:sz w:val="24"/>
              </w:rPr>
              <w:t>成本效益分析法</w:t>
            </w:r>
          </w:p>
        </w:tc>
        <w:tc>
          <w:tcPr>
            <w:tcW w:w="5532" w:type="dxa"/>
            <w:vAlign w:val="center"/>
          </w:tcPr>
          <w:p>
            <w:pPr>
              <w:pStyle w:val="25"/>
              <w:spacing w:before="5"/>
              <w:ind w:left="108" w:right="131"/>
              <w:jc w:val="both"/>
              <w:rPr>
                <w:sz w:val="24"/>
                <w:lang w:eastAsia="zh-CN"/>
              </w:rPr>
            </w:pPr>
            <w:r>
              <w:rPr>
                <w:sz w:val="24"/>
                <w:lang w:eastAsia="zh-CN"/>
              </w:rPr>
              <w:t>将一定时期内的支出与效益进行对比分析以评价绩效目标实现程度，适用于成本、效益都能准确计量的项目绩效评价。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740" w:type="dxa"/>
            <w:vAlign w:val="center"/>
          </w:tcPr>
          <w:p>
            <w:pPr>
              <w:pStyle w:val="25"/>
              <w:spacing w:before="11"/>
              <w:rPr>
                <w:sz w:val="25"/>
                <w:lang w:eastAsia="zh-CN"/>
              </w:rPr>
            </w:pPr>
          </w:p>
          <w:p>
            <w:pPr>
              <w:pStyle w:val="25"/>
              <w:ind w:left="9"/>
              <w:jc w:val="center"/>
              <w:rPr>
                <w:sz w:val="24"/>
              </w:rPr>
            </w:pPr>
            <w:r>
              <w:rPr>
                <w:sz w:val="24"/>
              </w:rPr>
              <w:t>2</w:t>
            </w:r>
          </w:p>
        </w:tc>
        <w:tc>
          <w:tcPr>
            <w:tcW w:w="2078" w:type="dxa"/>
            <w:vAlign w:val="center"/>
          </w:tcPr>
          <w:p>
            <w:pPr>
              <w:pStyle w:val="25"/>
              <w:spacing w:before="11"/>
              <w:rPr>
                <w:sz w:val="25"/>
              </w:rPr>
            </w:pPr>
          </w:p>
          <w:p>
            <w:pPr>
              <w:pStyle w:val="25"/>
              <w:ind w:left="107"/>
              <w:rPr>
                <w:sz w:val="24"/>
              </w:rPr>
            </w:pPr>
            <w:r>
              <w:rPr>
                <w:sz w:val="24"/>
              </w:rPr>
              <w:t>目标结果比较法</w:t>
            </w:r>
          </w:p>
        </w:tc>
        <w:tc>
          <w:tcPr>
            <w:tcW w:w="5532" w:type="dxa"/>
            <w:vAlign w:val="center"/>
          </w:tcPr>
          <w:p>
            <w:pPr>
              <w:pStyle w:val="25"/>
              <w:ind w:left="108" w:right="131"/>
              <w:jc w:val="both"/>
              <w:rPr>
                <w:sz w:val="24"/>
                <w:lang w:eastAsia="zh-CN"/>
              </w:rPr>
            </w:pPr>
            <w:r>
              <w:rPr>
                <w:sz w:val="24"/>
                <w:lang w:eastAsia="zh-CN"/>
              </w:rPr>
              <w:t>通过对绩效目标与实施效果、历史与当期情况、同部门和地区同类支出的比较，综合分析绩效目标实现程度。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40" w:type="dxa"/>
            <w:vAlign w:val="center"/>
          </w:tcPr>
          <w:p>
            <w:pPr>
              <w:pStyle w:val="25"/>
              <w:spacing w:before="173"/>
              <w:ind w:left="9"/>
              <w:jc w:val="center"/>
              <w:rPr>
                <w:sz w:val="24"/>
              </w:rPr>
            </w:pPr>
            <w:r>
              <w:rPr>
                <w:sz w:val="24"/>
              </w:rPr>
              <w:t>3</w:t>
            </w:r>
          </w:p>
        </w:tc>
        <w:tc>
          <w:tcPr>
            <w:tcW w:w="2078" w:type="dxa"/>
            <w:vAlign w:val="center"/>
          </w:tcPr>
          <w:p>
            <w:pPr>
              <w:pStyle w:val="25"/>
              <w:spacing w:before="173"/>
              <w:ind w:left="107"/>
              <w:rPr>
                <w:sz w:val="24"/>
              </w:rPr>
            </w:pPr>
            <w:r>
              <w:rPr>
                <w:sz w:val="24"/>
              </w:rPr>
              <w:t>因素分析法</w:t>
            </w:r>
          </w:p>
        </w:tc>
        <w:tc>
          <w:tcPr>
            <w:tcW w:w="5532" w:type="dxa"/>
            <w:vAlign w:val="center"/>
          </w:tcPr>
          <w:p>
            <w:pPr>
              <w:pStyle w:val="25"/>
              <w:ind w:left="108" w:right="131"/>
              <w:rPr>
                <w:sz w:val="24"/>
                <w:lang w:eastAsia="zh-CN"/>
              </w:rPr>
            </w:pPr>
            <w:r>
              <w:rPr>
                <w:sz w:val="24"/>
                <w:lang w:eastAsia="zh-CN"/>
              </w:rPr>
              <w:t>通过综合分析影响绩效目标实现、实施效果的内外因素，评价绩效目标实现程度。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40" w:type="dxa"/>
            <w:vAlign w:val="center"/>
          </w:tcPr>
          <w:p>
            <w:pPr>
              <w:pStyle w:val="25"/>
              <w:spacing w:before="171"/>
              <w:ind w:left="9"/>
              <w:jc w:val="center"/>
              <w:rPr>
                <w:sz w:val="24"/>
              </w:rPr>
            </w:pPr>
            <w:r>
              <w:rPr>
                <w:sz w:val="24"/>
              </w:rPr>
              <w:t>4</w:t>
            </w:r>
          </w:p>
        </w:tc>
        <w:tc>
          <w:tcPr>
            <w:tcW w:w="2078" w:type="dxa"/>
            <w:vAlign w:val="center"/>
          </w:tcPr>
          <w:p>
            <w:pPr>
              <w:pStyle w:val="25"/>
              <w:spacing w:before="171"/>
              <w:ind w:left="107"/>
              <w:rPr>
                <w:sz w:val="24"/>
              </w:rPr>
            </w:pPr>
            <w:r>
              <w:rPr>
                <w:sz w:val="24"/>
              </w:rPr>
              <w:t>公众评判法</w:t>
            </w:r>
          </w:p>
        </w:tc>
        <w:tc>
          <w:tcPr>
            <w:tcW w:w="5532" w:type="dxa"/>
            <w:vAlign w:val="center"/>
          </w:tcPr>
          <w:p>
            <w:pPr>
              <w:pStyle w:val="25"/>
              <w:ind w:left="108" w:right="131"/>
              <w:rPr>
                <w:sz w:val="24"/>
                <w:lang w:eastAsia="zh-CN"/>
              </w:rPr>
            </w:pPr>
            <w:r>
              <w:rPr>
                <w:sz w:val="24"/>
                <w:lang w:eastAsia="zh-CN"/>
              </w:rPr>
              <w:t>通过项目组或专家评估、公众问卷及抽样调查等对财政支出效果进行评判，评价绩效目标实现程度。</w:t>
            </w:r>
          </w:p>
        </w:tc>
      </w:tr>
    </w:tbl>
    <w:p>
      <w:pPr>
        <w:pStyle w:val="3"/>
        <w:spacing w:before="0" w:after="0" w:line="600" w:lineRule="exact"/>
        <w:ind w:firstLine="640" w:firstLineChars="200"/>
        <w:rPr>
          <w:rFonts w:ascii="楷体" w:hAnsi="楷体" w:eastAsia="楷体" w:cs="楷体"/>
          <w:b w:val="0"/>
          <w:bCs w:val="0"/>
          <w:lang w:eastAsia="zh-CN"/>
        </w:rPr>
      </w:pPr>
      <w:bookmarkStart w:id="29" w:name="_bookmark8"/>
      <w:bookmarkEnd w:id="29"/>
      <w:bookmarkStart w:id="30" w:name="_Toc167789379"/>
      <w:r>
        <w:rPr>
          <w:rFonts w:hint="eastAsia" w:ascii="楷体" w:hAnsi="楷体" w:eastAsia="楷体" w:cs="楷体"/>
          <w:b w:val="0"/>
          <w:bCs w:val="0"/>
          <w:lang w:eastAsia="zh-CN"/>
        </w:rPr>
        <w:t>(五)评价依据</w:t>
      </w:r>
      <w:bookmarkEnd w:id="30"/>
    </w:p>
    <w:p>
      <w:pPr>
        <w:pStyle w:val="5"/>
        <w:spacing w:line="600" w:lineRule="exact"/>
        <w:ind w:firstLine="640" w:firstLineChars="200"/>
        <w:rPr>
          <w:lang w:eastAsia="zh-CN"/>
        </w:rPr>
      </w:pPr>
      <w:r>
        <w:rPr>
          <w:lang w:eastAsia="zh-CN"/>
        </w:rPr>
        <w:t>本次绩效评价的主要依据见表 3。</w:t>
      </w:r>
    </w:p>
    <w:p>
      <w:pPr>
        <w:spacing w:line="600" w:lineRule="exact"/>
        <w:ind w:left="563" w:right="41"/>
        <w:jc w:val="center"/>
        <w:rPr>
          <w:sz w:val="28"/>
        </w:rPr>
      </w:pPr>
      <w:r>
        <w:rPr>
          <w:sz w:val="28"/>
        </w:rPr>
        <w:t>表 3 项目绩效评价依据</w:t>
      </w:r>
    </w:p>
    <w:p>
      <w:pPr>
        <w:pStyle w:val="5"/>
        <w:spacing w:before="10"/>
        <w:rPr>
          <w:sz w:val="11"/>
        </w:rPr>
      </w:pPr>
    </w:p>
    <w:tbl>
      <w:tblPr>
        <w:tblStyle w:val="13"/>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6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blHeader/>
        </w:trPr>
        <w:tc>
          <w:tcPr>
            <w:tcW w:w="1807" w:type="dxa"/>
            <w:vAlign w:val="top"/>
          </w:tcPr>
          <w:p>
            <w:pPr>
              <w:pStyle w:val="25"/>
              <w:spacing w:before="135"/>
              <w:ind w:left="159" w:right="152"/>
              <w:jc w:val="center"/>
              <w:rPr>
                <w:b/>
                <w:sz w:val="24"/>
              </w:rPr>
            </w:pPr>
            <w:r>
              <w:rPr>
                <w:b/>
                <w:sz w:val="24"/>
              </w:rPr>
              <w:t>评价依据类型</w:t>
            </w:r>
          </w:p>
        </w:tc>
        <w:tc>
          <w:tcPr>
            <w:tcW w:w="6715" w:type="dxa"/>
            <w:vAlign w:val="top"/>
          </w:tcPr>
          <w:p>
            <w:pPr>
              <w:pStyle w:val="25"/>
              <w:spacing w:before="135"/>
              <w:ind w:left="2854" w:right="2847"/>
              <w:jc w:val="center"/>
              <w:rPr>
                <w:b/>
                <w:sz w:val="24"/>
              </w:rPr>
            </w:pPr>
            <w:r>
              <w:rPr>
                <w:b/>
                <w:sz w:val="24"/>
              </w:rPr>
              <w:t>评价依据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07" w:type="dxa"/>
            <w:tcBorders>
              <w:bottom w:val="nil"/>
            </w:tcBorders>
            <w:vAlign w:val="top"/>
          </w:tcPr>
          <w:p>
            <w:pPr>
              <w:pStyle w:val="25"/>
              <w:rPr>
                <w:rFonts w:ascii="Times New Roman"/>
                <w:sz w:val="24"/>
              </w:rPr>
            </w:pPr>
          </w:p>
        </w:tc>
        <w:tc>
          <w:tcPr>
            <w:tcW w:w="6715" w:type="dxa"/>
            <w:tcBorders>
              <w:bottom w:val="nil"/>
            </w:tcBorders>
            <w:vAlign w:val="top"/>
          </w:tcPr>
          <w:p>
            <w:pPr>
              <w:pStyle w:val="25"/>
              <w:spacing w:before="17" w:line="293" w:lineRule="exact"/>
              <w:ind w:left="107"/>
              <w:rPr>
                <w:sz w:val="24"/>
                <w:lang w:eastAsia="zh-CN"/>
              </w:rPr>
            </w:pPr>
            <w:r>
              <w:rPr>
                <w:spacing w:val="-17"/>
                <w:sz w:val="24"/>
                <w:lang w:eastAsia="zh-CN"/>
              </w:rPr>
              <w:t>1</w:t>
            </w:r>
            <w:r>
              <w:rPr>
                <w:spacing w:val="-7"/>
                <w:sz w:val="24"/>
                <w:lang w:eastAsia="zh-CN"/>
              </w:rPr>
              <w:t>.《中共中央国务院关于全面实施预算绩效管理的意见》</w:t>
            </w:r>
            <w:r>
              <w:rPr>
                <w:spacing w:val="-3"/>
                <w:sz w:val="24"/>
                <w:lang w:eastAsia="zh-CN"/>
              </w:rPr>
              <w:t>（</w:t>
            </w:r>
            <w:r>
              <w:rPr>
                <w:sz w:val="24"/>
                <w:lang w:eastAsia="zh-CN"/>
              </w:rPr>
              <w:t>中</w:t>
            </w:r>
            <w:r>
              <w:rPr>
                <w:rFonts w:hint="eastAsia"/>
                <w:sz w:val="24"/>
                <w:lang w:eastAsia="zh-CN"/>
              </w:rPr>
              <w:t>发〔</w:t>
            </w:r>
            <w:r>
              <w:rPr>
                <w:sz w:val="24"/>
                <w:lang w:eastAsia="zh-CN"/>
              </w:rPr>
              <w:t>2018〕34 号</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07" w:type="dxa"/>
            <w:tcBorders>
              <w:top w:val="nil"/>
              <w:bottom w:val="nil"/>
            </w:tcBorders>
            <w:vAlign w:val="top"/>
          </w:tcPr>
          <w:p>
            <w:pPr>
              <w:pStyle w:val="25"/>
              <w:rPr>
                <w:rFonts w:ascii="Times New Roman"/>
                <w:sz w:val="24"/>
                <w:lang w:eastAsia="zh-CN"/>
              </w:rPr>
            </w:pPr>
          </w:p>
        </w:tc>
        <w:tc>
          <w:tcPr>
            <w:tcW w:w="6715" w:type="dxa"/>
            <w:tcBorders>
              <w:top w:val="nil"/>
              <w:bottom w:val="nil"/>
            </w:tcBorders>
            <w:vAlign w:val="top"/>
          </w:tcPr>
          <w:p>
            <w:pPr>
              <w:pStyle w:val="25"/>
              <w:spacing w:before="7" w:line="293" w:lineRule="exact"/>
              <w:ind w:left="107"/>
              <w:rPr>
                <w:sz w:val="24"/>
                <w:lang w:eastAsia="zh-CN"/>
              </w:rPr>
            </w:pPr>
            <w:r>
              <w:rPr>
                <w:sz w:val="24"/>
                <w:lang w:eastAsia="zh-CN"/>
              </w:rPr>
              <w:t>2.《财政支出绩效评价管理办法》（财预〔2020〕10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1807" w:type="dxa"/>
            <w:tcBorders>
              <w:top w:val="nil"/>
              <w:bottom w:val="nil"/>
            </w:tcBorders>
            <w:vAlign w:val="top"/>
          </w:tcPr>
          <w:p>
            <w:pPr>
              <w:pStyle w:val="25"/>
              <w:spacing w:before="166" w:line="249" w:lineRule="auto"/>
              <w:ind w:left="662" w:right="412" w:hanging="240"/>
              <w:rPr>
                <w:sz w:val="24"/>
                <w:lang w:eastAsia="zh-CN"/>
              </w:rPr>
            </w:pPr>
            <w:r>
              <w:rPr>
                <w:sz w:val="24"/>
              </w:rPr>
              <w:t>政策法规依据</w:t>
            </w:r>
          </w:p>
        </w:tc>
        <w:tc>
          <w:tcPr>
            <w:tcW w:w="6715" w:type="dxa"/>
            <w:tcBorders>
              <w:top w:val="nil"/>
              <w:bottom w:val="nil"/>
            </w:tcBorders>
            <w:vAlign w:val="top"/>
          </w:tcPr>
          <w:p>
            <w:pPr>
              <w:pStyle w:val="25"/>
              <w:spacing w:before="11" w:line="293" w:lineRule="exact"/>
              <w:ind w:left="107"/>
              <w:rPr>
                <w:sz w:val="24"/>
                <w:lang w:eastAsia="zh-CN"/>
              </w:rPr>
            </w:pPr>
            <w:r>
              <w:rPr>
                <w:rFonts w:hint="eastAsia"/>
                <w:sz w:val="24"/>
                <w:lang w:eastAsia="zh-CN"/>
              </w:rPr>
              <w:t>3</w:t>
            </w:r>
            <w:r>
              <w:rPr>
                <w:sz w:val="24"/>
                <w:lang w:eastAsia="zh-CN"/>
              </w:rPr>
              <w:t>.</w:t>
            </w:r>
            <w:r>
              <w:rPr>
                <w:rFonts w:hint="eastAsia"/>
                <w:sz w:val="24"/>
                <w:lang w:eastAsia="zh-CN"/>
              </w:rPr>
              <w:t>关于贯彻落实《中共中央国务院关于全面实施预算绩效管理的意见》的通知（财预〔</w:t>
            </w:r>
            <w:r>
              <w:rPr>
                <w:sz w:val="24"/>
                <w:lang w:eastAsia="zh-CN"/>
              </w:rPr>
              <w:t>2018〕167 号</w:t>
            </w:r>
            <w:r>
              <w:rPr>
                <w:rFonts w:hint="eastAsia"/>
                <w:sz w:val="24"/>
                <w:lang w:eastAsia="zh-CN"/>
              </w:rPr>
              <w:t>）</w:t>
            </w:r>
          </w:p>
          <w:p>
            <w:pPr>
              <w:pStyle w:val="25"/>
              <w:spacing w:before="11" w:line="293" w:lineRule="exact"/>
              <w:ind w:firstLine="117" w:firstLineChars="49"/>
              <w:jc w:val="both"/>
              <w:rPr>
                <w:sz w:val="24"/>
                <w:lang w:eastAsia="zh-CN"/>
              </w:rPr>
            </w:pPr>
            <w:r>
              <w:rPr>
                <w:rFonts w:hint="eastAsia"/>
                <w:sz w:val="24"/>
                <w:lang w:eastAsia="zh-CN"/>
              </w:rPr>
              <w:t>4.《中共海南省委海南省人民政府关于全面实施</w:t>
            </w:r>
            <w:r>
              <w:rPr>
                <w:sz w:val="24"/>
                <w:lang w:eastAsia="zh-CN"/>
              </w:rPr>
              <w:t>预算绩效管理的实施意见》（琼发〔2019) 18号）；</w:t>
            </w:r>
          </w:p>
          <w:p>
            <w:pPr>
              <w:pStyle w:val="25"/>
              <w:spacing w:before="11" w:line="293" w:lineRule="exact"/>
              <w:ind w:left="107"/>
              <w:rPr>
                <w:sz w:val="24"/>
                <w:lang w:eastAsia="zh-CN"/>
              </w:rPr>
            </w:pPr>
            <w:r>
              <w:rPr>
                <w:rFonts w:hint="eastAsia"/>
                <w:sz w:val="24"/>
                <w:lang w:eastAsia="zh-CN"/>
              </w:rPr>
              <w:t>5.《海南省项目支出</w:t>
            </w:r>
            <w:r>
              <w:rPr>
                <w:sz w:val="24"/>
                <w:lang w:eastAsia="zh-CN"/>
              </w:rPr>
              <w:t>绩效评价管理实施办法》（</w:t>
            </w:r>
            <w:r>
              <w:rPr>
                <w:rFonts w:hint="eastAsia"/>
                <w:sz w:val="24"/>
                <w:lang w:eastAsia="zh-CN"/>
              </w:rPr>
              <w:t>琼财绩</w:t>
            </w:r>
            <w:r>
              <w:rPr>
                <w:sz w:val="24"/>
                <w:lang w:eastAsia="zh-CN"/>
              </w:rPr>
              <w:t>2020) 594号）；</w:t>
            </w:r>
          </w:p>
          <w:p>
            <w:pPr>
              <w:pStyle w:val="25"/>
              <w:spacing w:before="11" w:line="293" w:lineRule="exact"/>
              <w:ind w:left="107"/>
              <w:rPr>
                <w:sz w:val="24"/>
                <w:lang w:eastAsia="zh-CN"/>
              </w:rPr>
            </w:pPr>
            <w:r>
              <w:rPr>
                <w:rFonts w:hint="eastAsia"/>
                <w:sz w:val="24"/>
                <w:lang w:eastAsia="zh-CN"/>
              </w:rPr>
              <w:t>6.《海</w:t>
            </w:r>
            <w:r>
              <w:rPr>
                <w:sz w:val="24"/>
                <w:lang w:eastAsia="zh-CN"/>
              </w:rPr>
              <w:t>南省财政厅关于印发〈海南省预算绩效管理提质增效实施方案〉的通知》（琼财绩（202</w:t>
            </w:r>
            <w:r>
              <w:rPr>
                <w:rFonts w:hint="eastAsia"/>
                <w:sz w:val="24"/>
                <w:lang w:eastAsia="zh-CN"/>
              </w:rPr>
              <w:t>2</w:t>
            </w:r>
            <w:r>
              <w:rPr>
                <w:sz w:val="24"/>
                <w:lang w:eastAsia="zh-CN"/>
              </w:rPr>
              <w:t>) 376号）；</w:t>
            </w:r>
          </w:p>
          <w:p>
            <w:pPr>
              <w:pStyle w:val="25"/>
              <w:spacing w:before="11" w:line="293" w:lineRule="exact"/>
              <w:ind w:left="107"/>
              <w:rPr>
                <w:sz w:val="24"/>
                <w:lang w:eastAsia="zh-CN"/>
              </w:rPr>
            </w:pPr>
            <w:r>
              <w:rPr>
                <w:rFonts w:hint="eastAsia"/>
                <w:sz w:val="24"/>
                <w:lang w:eastAsia="zh-CN"/>
              </w:rPr>
              <w:t>7</w:t>
            </w:r>
            <w:r>
              <w:rPr>
                <w:sz w:val="24"/>
                <w:lang w:eastAsia="zh-CN"/>
              </w:rPr>
              <w:t>.《</w:t>
            </w:r>
            <w:r>
              <w:rPr>
                <w:rFonts w:hint="eastAsia"/>
                <w:sz w:val="24"/>
                <w:lang w:eastAsia="zh-CN"/>
              </w:rPr>
              <w:t>海南省财政厅关于印发《省直单位预算绩效管理工作指引》的通知</w:t>
            </w:r>
            <w:r>
              <w:rPr>
                <w:sz w:val="24"/>
                <w:lang w:eastAsia="zh-CN"/>
              </w:rPr>
              <w:t>》（</w:t>
            </w:r>
            <w:r>
              <w:rPr>
                <w:rFonts w:hint="eastAsia"/>
                <w:sz w:val="24"/>
                <w:lang w:eastAsia="zh-CN"/>
              </w:rPr>
              <w:t>琼财绩〔</w:t>
            </w:r>
            <w:r>
              <w:rPr>
                <w:sz w:val="24"/>
                <w:lang w:eastAsia="zh-CN"/>
              </w:rPr>
              <w:t>2024〕190号）。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7" w:type="dxa"/>
            <w:tcBorders>
              <w:bottom w:val="nil"/>
            </w:tcBorders>
            <w:vAlign w:val="top"/>
          </w:tcPr>
          <w:p>
            <w:pPr>
              <w:pStyle w:val="25"/>
              <w:jc w:val="center"/>
              <w:rPr>
                <w:sz w:val="24"/>
                <w:lang w:eastAsia="zh-CN"/>
              </w:rPr>
            </w:pPr>
          </w:p>
          <w:p>
            <w:pPr>
              <w:pStyle w:val="25"/>
              <w:jc w:val="center"/>
              <w:rPr>
                <w:rFonts w:ascii="Times New Roman"/>
                <w:sz w:val="24"/>
                <w:lang w:eastAsia="zh-CN"/>
              </w:rPr>
            </w:pPr>
            <w:r>
              <w:rPr>
                <w:sz w:val="24"/>
              </w:rPr>
              <w:t>项目决策</w:t>
            </w:r>
          </w:p>
          <w:p>
            <w:pPr>
              <w:pStyle w:val="25"/>
              <w:jc w:val="center"/>
              <w:rPr>
                <w:rFonts w:ascii="Times New Roman"/>
                <w:sz w:val="24"/>
                <w:lang w:eastAsia="zh-CN"/>
              </w:rPr>
            </w:pPr>
            <w:r>
              <w:rPr>
                <w:sz w:val="24"/>
              </w:rPr>
              <w:t>相关材料</w:t>
            </w:r>
          </w:p>
        </w:tc>
        <w:tc>
          <w:tcPr>
            <w:tcW w:w="6715" w:type="dxa"/>
            <w:tcBorders>
              <w:bottom w:val="nil"/>
            </w:tcBorders>
            <w:vAlign w:val="top"/>
          </w:tcPr>
          <w:p>
            <w:pPr>
              <w:pStyle w:val="25"/>
              <w:spacing w:line="293" w:lineRule="exact"/>
              <w:ind w:left="107"/>
              <w:rPr>
                <w:sz w:val="24"/>
                <w:lang w:eastAsia="zh-CN"/>
              </w:rPr>
            </w:pPr>
            <w:r>
              <w:rPr>
                <w:sz w:val="24"/>
                <w:lang w:eastAsia="zh-CN"/>
              </w:rPr>
              <w:t>1.《</w:t>
            </w:r>
            <w:r>
              <w:rPr>
                <w:rFonts w:hint="eastAsia"/>
                <w:sz w:val="24"/>
                <w:lang w:eastAsia="zh-CN"/>
              </w:rPr>
              <w:t>海南省商务厅关于印发《</w:t>
            </w:r>
            <w:r>
              <w:rPr>
                <w:sz w:val="24"/>
                <w:lang w:eastAsia="zh-CN"/>
              </w:rPr>
              <w:t>2023年海南省促进消费</w:t>
            </w:r>
            <w:r>
              <w:rPr>
                <w:rFonts w:hint="eastAsia"/>
                <w:sz w:val="24"/>
                <w:lang w:eastAsia="zh-CN"/>
              </w:rPr>
              <w:t>若干措施》的通知</w:t>
            </w:r>
            <w:r>
              <w:rPr>
                <w:sz w:val="24"/>
                <w:lang w:eastAsia="zh-CN"/>
              </w:rPr>
              <w:t>》</w:t>
            </w:r>
            <w:r>
              <w:rPr>
                <w:rFonts w:hint="eastAsia"/>
                <w:sz w:val="24"/>
                <w:lang w:eastAsia="zh-CN"/>
              </w:rPr>
              <w:t>(琼商消〔</w:t>
            </w:r>
            <w:r>
              <w:rPr>
                <w:sz w:val="24"/>
                <w:lang w:eastAsia="zh-CN"/>
              </w:rPr>
              <w:t>2023〕19 号)；</w:t>
            </w:r>
          </w:p>
          <w:p>
            <w:pPr>
              <w:pStyle w:val="25"/>
              <w:spacing w:line="293" w:lineRule="exact"/>
              <w:ind w:left="107"/>
              <w:rPr>
                <w:sz w:val="24"/>
                <w:lang w:eastAsia="zh-CN"/>
              </w:rPr>
            </w:pPr>
            <w:r>
              <w:rPr>
                <w:rFonts w:hint="eastAsia"/>
                <w:sz w:val="24"/>
                <w:lang w:eastAsia="zh-CN"/>
              </w:rPr>
              <w:t>2.海南省商务厅收文处理单</w:t>
            </w:r>
            <w:r>
              <w:rPr>
                <w:sz w:val="24"/>
                <w:lang w:eastAsia="zh-CN"/>
              </w:rPr>
              <w:t>；</w:t>
            </w:r>
          </w:p>
          <w:p>
            <w:pPr>
              <w:pStyle w:val="25"/>
              <w:spacing w:line="293" w:lineRule="exact"/>
              <w:ind w:left="107"/>
              <w:rPr>
                <w:sz w:val="24"/>
                <w:lang w:eastAsia="zh-CN"/>
              </w:rPr>
            </w:pPr>
            <w:r>
              <w:rPr>
                <w:rFonts w:hint="eastAsia"/>
                <w:sz w:val="24"/>
                <w:lang w:eastAsia="zh-CN"/>
              </w:rPr>
              <w:t>3.《关于审议</w:t>
            </w:r>
            <w:r>
              <w:rPr>
                <w:sz w:val="24"/>
                <w:lang w:eastAsia="zh-CN"/>
              </w:rPr>
              <w:t xml:space="preserve"> 2023年我省促消费若干措施“消费券资金”安排方案的请示》；</w:t>
            </w:r>
          </w:p>
          <w:p>
            <w:pPr>
              <w:pStyle w:val="25"/>
              <w:spacing w:line="293" w:lineRule="exact"/>
              <w:ind w:left="107"/>
              <w:rPr>
                <w:sz w:val="24"/>
                <w:lang w:eastAsia="zh-CN"/>
              </w:rPr>
            </w:pPr>
            <w:r>
              <w:rPr>
                <w:rFonts w:hint="eastAsia"/>
                <w:sz w:val="24"/>
                <w:lang w:eastAsia="zh-CN"/>
              </w:rPr>
              <w:t>4</w:t>
            </w:r>
            <w:r>
              <w:rPr>
                <w:sz w:val="24"/>
                <w:lang w:eastAsia="zh-CN"/>
              </w:rPr>
              <w:t>.《</w:t>
            </w:r>
            <w:r>
              <w:rPr>
                <w:rFonts w:hint="eastAsia"/>
                <w:sz w:val="24"/>
                <w:lang w:eastAsia="zh-CN"/>
              </w:rPr>
              <w:t>中</w:t>
            </w:r>
            <w:r>
              <w:rPr>
                <w:sz w:val="24"/>
                <w:lang w:eastAsia="zh-CN"/>
              </w:rPr>
              <w:t>共海南省商务厅党组</w:t>
            </w:r>
            <w:r>
              <w:rPr>
                <w:rFonts w:hint="eastAsia"/>
                <w:sz w:val="24"/>
                <w:lang w:eastAsia="zh-CN"/>
              </w:rPr>
              <w:t>会</w:t>
            </w:r>
            <w:r>
              <w:rPr>
                <w:sz w:val="24"/>
                <w:lang w:eastAsia="zh-CN"/>
              </w:rPr>
              <w:t>议纪要》</w:t>
            </w:r>
            <w:r>
              <w:rPr>
                <w:rFonts w:hint="eastAsia"/>
                <w:sz w:val="24"/>
                <w:lang w:eastAsia="zh-CN"/>
              </w:rPr>
              <w:t>(〔</w:t>
            </w:r>
            <w:r>
              <w:rPr>
                <w:sz w:val="24"/>
                <w:lang w:eastAsia="zh-CN"/>
              </w:rPr>
              <w:t>2023〕11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trPr>
        <w:tc>
          <w:tcPr>
            <w:tcW w:w="1807" w:type="dxa"/>
            <w:tcBorders>
              <w:top w:val="nil"/>
            </w:tcBorders>
            <w:vAlign w:val="top"/>
          </w:tcPr>
          <w:p>
            <w:pPr>
              <w:pStyle w:val="25"/>
              <w:rPr>
                <w:rFonts w:ascii="Times New Roman"/>
                <w:sz w:val="24"/>
                <w:lang w:eastAsia="zh-CN"/>
              </w:rPr>
            </w:pPr>
          </w:p>
        </w:tc>
        <w:tc>
          <w:tcPr>
            <w:tcW w:w="6715" w:type="dxa"/>
            <w:tcBorders>
              <w:top w:val="nil"/>
            </w:tcBorders>
            <w:vAlign w:val="top"/>
          </w:tcPr>
          <w:p>
            <w:pPr>
              <w:pStyle w:val="25"/>
              <w:spacing w:before="7"/>
              <w:ind w:left="107"/>
              <w:rPr>
                <w:sz w:val="24"/>
                <w:lang w:eastAsia="zh-CN"/>
              </w:rPr>
            </w:pPr>
            <w:r>
              <w:rPr>
                <w:rFonts w:hint="eastAsia"/>
                <w:sz w:val="24"/>
                <w:lang w:eastAsia="zh-CN"/>
              </w:rPr>
              <w:t>5</w:t>
            </w:r>
            <w:r>
              <w:rPr>
                <w:spacing w:val="-14"/>
                <w:sz w:val="24"/>
                <w:lang w:eastAsia="zh-CN"/>
              </w:rPr>
              <w:t>.</w:t>
            </w:r>
            <w:r>
              <w:rPr>
                <w:sz w:val="24"/>
                <w:lang w:eastAsia="zh-CN"/>
              </w:rPr>
              <w:t>《</w:t>
            </w:r>
            <w:r>
              <w:rPr>
                <w:rFonts w:hint="eastAsia"/>
                <w:sz w:val="24"/>
                <w:lang w:eastAsia="zh-CN"/>
              </w:rPr>
              <w:t>海</w:t>
            </w:r>
            <w:r>
              <w:rPr>
                <w:sz w:val="24"/>
                <w:lang w:eastAsia="zh-CN"/>
              </w:rPr>
              <w:t>南省商务厅厅务会</w:t>
            </w:r>
            <w:r>
              <w:rPr>
                <w:rFonts w:hint="eastAsia"/>
                <w:sz w:val="24"/>
                <w:lang w:eastAsia="zh-CN"/>
              </w:rPr>
              <w:t>会</w:t>
            </w:r>
            <w:r>
              <w:rPr>
                <w:sz w:val="24"/>
                <w:lang w:eastAsia="zh-CN"/>
              </w:rPr>
              <w:t>议纪要》</w:t>
            </w:r>
            <w:r>
              <w:rPr>
                <w:rFonts w:hint="eastAsia"/>
                <w:sz w:val="24"/>
                <w:lang w:eastAsia="zh-CN"/>
              </w:rPr>
              <w:t>(〔</w:t>
            </w:r>
            <w:r>
              <w:rPr>
                <w:sz w:val="24"/>
                <w:lang w:eastAsia="zh-CN"/>
              </w:rPr>
              <w:t>2023〕</w:t>
            </w:r>
            <w:r>
              <w:rPr>
                <w:rFonts w:hint="eastAsia"/>
                <w:sz w:val="24"/>
                <w:lang w:eastAsia="zh-CN"/>
              </w:rPr>
              <w:t>5</w:t>
            </w:r>
            <w:r>
              <w:rPr>
                <w:sz w:val="24"/>
                <w:lang w:eastAsia="zh-CN"/>
              </w:rPr>
              <w:t xml:space="preserve">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07" w:type="dxa"/>
            <w:tcBorders>
              <w:top w:val="nil"/>
              <w:bottom w:val="nil"/>
            </w:tcBorders>
            <w:vAlign w:val="top"/>
          </w:tcPr>
          <w:p>
            <w:pPr>
              <w:pStyle w:val="25"/>
              <w:rPr>
                <w:rFonts w:ascii="Times New Roman"/>
                <w:sz w:val="24"/>
                <w:lang w:eastAsia="zh-CN"/>
              </w:rPr>
            </w:pPr>
          </w:p>
        </w:tc>
        <w:tc>
          <w:tcPr>
            <w:tcW w:w="6715" w:type="dxa"/>
            <w:tcBorders>
              <w:top w:val="nil"/>
              <w:bottom w:val="nil"/>
            </w:tcBorders>
            <w:vAlign w:val="top"/>
          </w:tcPr>
          <w:p>
            <w:pPr>
              <w:pStyle w:val="25"/>
              <w:spacing w:before="6" w:line="295" w:lineRule="exact"/>
              <w:ind w:left="107"/>
              <w:rPr>
                <w:sz w:val="24"/>
                <w:lang w:eastAsia="zh-CN"/>
              </w:rPr>
            </w:pPr>
            <w:r>
              <w:rPr>
                <w:rFonts w:hint="eastAsia"/>
                <w:sz w:val="24"/>
                <w:lang w:eastAsia="zh-CN"/>
              </w:rPr>
              <w:t>1</w:t>
            </w:r>
            <w:r>
              <w:rPr>
                <w:sz w:val="24"/>
                <w:lang w:eastAsia="zh-CN"/>
              </w:rPr>
              <w:t>.</w:t>
            </w:r>
            <w:r>
              <w:rPr>
                <w:rFonts w:hint="eastAsia"/>
                <w:sz w:val="24"/>
                <w:lang w:eastAsia="zh-CN"/>
              </w:rPr>
              <w:t>《</w:t>
            </w:r>
            <w:r>
              <w:rPr>
                <w:sz w:val="24"/>
                <w:lang w:eastAsia="zh-CN"/>
              </w:rPr>
              <w:t>2023年海南省政府离岛免税消费券</w:t>
            </w:r>
            <w:r>
              <w:rPr>
                <w:rFonts w:hint="eastAsia"/>
                <w:sz w:val="24"/>
                <w:lang w:eastAsia="zh-CN"/>
              </w:rPr>
              <w:t>发放规则》；</w:t>
            </w:r>
          </w:p>
          <w:p>
            <w:pPr>
              <w:pStyle w:val="25"/>
              <w:spacing w:before="6" w:line="295" w:lineRule="exact"/>
              <w:ind w:left="107"/>
              <w:rPr>
                <w:sz w:val="24"/>
                <w:lang w:eastAsia="zh-CN"/>
              </w:rPr>
            </w:pPr>
            <w:r>
              <w:rPr>
                <w:rFonts w:hint="eastAsia"/>
                <w:sz w:val="24"/>
                <w:lang w:eastAsia="zh-CN"/>
              </w:rPr>
              <w:t>2.</w:t>
            </w:r>
            <w:r>
              <w:rPr>
                <w:sz w:val="24"/>
                <w:lang w:eastAsia="zh-CN"/>
              </w:rPr>
              <w:t>2023年海南省商务厅免税消费券营销活动情况（全部）；</w:t>
            </w:r>
          </w:p>
          <w:p>
            <w:pPr>
              <w:pStyle w:val="25"/>
              <w:spacing w:before="6" w:line="295" w:lineRule="exact"/>
              <w:ind w:left="107"/>
              <w:rPr>
                <w:sz w:val="24"/>
                <w:lang w:eastAsia="zh-CN"/>
              </w:rPr>
            </w:pPr>
            <w:r>
              <w:rPr>
                <w:rFonts w:hint="eastAsia"/>
                <w:sz w:val="24"/>
                <w:lang w:eastAsia="zh-CN"/>
              </w:rPr>
              <w:t>3.消费券合作平台招采材料</w:t>
            </w:r>
            <w:r>
              <w:rPr>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07" w:type="dxa"/>
            <w:tcBorders>
              <w:top w:val="nil"/>
              <w:bottom w:val="nil"/>
            </w:tcBorders>
            <w:vAlign w:val="top"/>
          </w:tcPr>
          <w:p>
            <w:pPr>
              <w:pStyle w:val="25"/>
              <w:jc w:val="center"/>
              <w:rPr>
                <w:rFonts w:ascii="Times New Roman"/>
                <w:sz w:val="24"/>
                <w:lang w:eastAsia="zh-CN"/>
              </w:rPr>
            </w:pPr>
            <w:r>
              <w:rPr>
                <w:sz w:val="24"/>
              </w:rPr>
              <w:t>实施过程</w:t>
            </w:r>
          </w:p>
        </w:tc>
        <w:tc>
          <w:tcPr>
            <w:tcW w:w="6715" w:type="dxa"/>
            <w:tcBorders>
              <w:top w:val="nil"/>
              <w:bottom w:val="nil"/>
            </w:tcBorders>
            <w:vAlign w:val="top"/>
          </w:tcPr>
          <w:p>
            <w:pPr>
              <w:pStyle w:val="25"/>
              <w:spacing w:before="7" w:line="293" w:lineRule="exact"/>
              <w:ind w:left="107"/>
              <w:rPr>
                <w:sz w:val="24"/>
                <w:lang w:eastAsia="zh-CN"/>
              </w:rPr>
            </w:pPr>
            <w:r>
              <w:rPr>
                <w:rFonts w:hint="eastAsia"/>
                <w:sz w:val="24"/>
                <w:lang w:eastAsia="zh-CN"/>
              </w:rPr>
              <w:t>4</w:t>
            </w:r>
            <w:r>
              <w:rPr>
                <w:sz w:val="24"/>
                <w:lang w:eastAsia="zh-CN"/>
              </w:rPr>
              <w:t>.</w:t>
            </w:r>
            <w:r>
              <w:rPr>
                <w:rFonts w:hint="eastAsia"/>
                <w:sz w:val="24"/>
                <w:lang w:eastAsia="zh-CN"/>
              </w:rPr>
              <w:t>促消费活动消费券项目支出凭证；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807" w:type="dxa"/>
            <w:tcBorders>
              <w:top w:val="nil"/>
              <w:bottom w:val="nil"/>
            </w:tcBorders>
            <w:vAlign w:val="top"/>
          </w:tcPr>
          <w:p>
            <w:pPr>
              <w:pStyle w:val="25"/>
              <w:spacing w:before="7" w:line="293" w:lineRule="exact"/>
              <w:ind w:left="159" w:right="152"/>
              <w:jc w:val="center"/>
              <w:rPr>
                <w:sz w:val="24"/>
              </w:rPr>
            </w:pPr>
            <w:r>
              <w:rPr>
                <w:sz w:val="24"/>
              </w:rPr>
              <w:t>相关材料</w:t>
            </w:r>
          </w:p>
        </w:tc>
        <w:tc>
          <w:tcPr>
            <w:tcW w:w="6715" w:type="dxa"/>
            <w:tcBorders>
              <w:top w:val="nil"/>
              <w:bottom w:val="nil"/>
            </w:tcBorders>
            <w:vAlign w:val="top"/>
          </w:tcPr>
          <w:p>
            <w:pPr>
              <w:pStyle w:val="25"/>
              <w:spacing w:before="6" w:line="293" w:lineRule="exact"/>
              <w:ind w:left="107"/>
              <w:rPr>
                <w:sz w:val="24"/>
                <w:lang w:eastAsia="zh-CN"/>
              </w:rPr>
            </w:pPr>
            <w:r>
              <w:rPr>
                <w:rFonts w:hint="eastAsia"/>
                <w:sz w:val="24"/>
                <w:lang w:eastAsia="zh-CN"/>
              </w:rPr>
              <w:t>5</w:t>
            </w:r>
            <w:r>
              <w:rPr>
                <w:sz w:val="24"/>
                <w:lang w:eastAsia="zh-CN"/>
              </w:rPr>
              <w:t>.</w:t>
            </w:r>
            <w:r>
              <w:rPr>
                <w:rFonts w:hint="eastAsia"/>
                <w:sz w:val="24"/>
                <w:lang w:eastAsia="zh-CN"/>
              </w:rPr>
              <w:t>促消费活动消费券项目合同；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807" w:type="dxa"/>
            <w:tcBorders>
              <w:top w:val="nil"/>
            </w:tcBorders>
            <w:vAlign w:val="top"/>
          </w:tcPr>
          <w:p>
            <w:pPr>
              <w:pStyle w:val="25"/>
              <w:rPr>
                <w:rFonts w:ascii="Times New Roman"/>
                <w:sz w:val="24"/>
                <w:lang w:eastAsia="zh-CN"/>
              </w:rPr>
            </w:pPr>
          </w:p>
        </w:tc>
        <w:tc>
          <w:tcPr>
            <w:tcW w:w="6715" w:type="dxa"/>
            <w:tcBorders>
              <w:top w:val="nil"/>
            </w:tcBorders>
            <w:vAlign w:val="top"/>
          </w:tcPr>
          <w:p>
            <w:pPr>
              <w:pStyle w:val="25"/>
              <w:spacing w:before="6"/>
              <w:ind w:left="107"/>
              <w:rPr>
                <w:sz w:val="24"/>
              </w:rPr>
            </w:pPr>
            <w:r>
              <w:rPr>
                <w:rFonts w:hint="eastAsia"/>
                <w:sz w:val="24"/>
                <w:lang w:eastAsia="zh-CN"/>
              </w:rPr>
              <w:t>6</w:t>
            </w:r>
            <w:r>
              <w:rPr>
                <w:sz w:val="24"/>
                <w:lang w:eastAsia="zh-CN"/>
              </w:rPr>
              <w:t>.</w:t>
            </w:r>
            <w:r>
              <w:rPr>
                <w:sz w:val="24"/>
              </w:rPr>
              <w:t>其他过程性材料。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807" w:type="dxa"/>
            <w:tcBorders>
              <w:top w:val="nil"/>
            </w:tcBorders>
            <w:vAlign w:val="center"/>
          </w:tcPr>
          <w:p>
            <w:pPr>
              <w:pStyle w:val="25"/>
              <w:jc w:val="center"/>
              <w:rPr>
                <w:sz w:val="24"/>
              </w:rPr>
            </w:pPr>
            <w:r>
              <w:rPr>
                <w:sz w:val="24"/>
              </w:rPr>
              <w:t>项目绩效</w:t>
            </w:r>
          </w:p>
          <w:p>
            <w:pPr>
              <w:pStyle w:val="25"/>
              <w:jc w:val="center"/>
              <w:rPr>
                <w:rFonts w:ascii="Times New Roman"/>
                <w:sz w:val="24"/>
                <w:lang w:eastAsia="zh-CN"/>
              </w:rPr>
            </w:pPr>
            <w:r>
              <w:rPr>
                <w:sz w:val="24"/>
              </w:rPr>
              <w:t>相关材料</w:t>
            </w:r>
          </w:p>
        </w:tc>
        <w:tc>
          <w:tcPr>
            <w:tcW w:w="6715" w:type="dxa"/>
            <w:tcBorders>
              <w:top w:val="nil"/>
            </w:tcBorders>
            <w:vAlign w:val="top"/>
          </w:tcPr>
          <w:p>
            <w:pPr>
              <w:pStyle w:val="25"/>
              <w:tabs>
                <w:tab w:val="left" w:pos="469"/>
              </w:tabs>
              <w:spacing w:before="12" w:line="284" w:lineRule="exact"/>
              <w:ind w:firstLine="120" w:firstLineChars="50"/>
              <w:rPr>
                <w:sz w:val="24"/>
                <w:lang w:eastAsia="zh-CN"/>
              </w:rPr>
            </w:pPr>
            <w:r>
              <w:rPr>
                <w:rFonts w:hint="eastAsia"/>
                <w:sz w:val="24"/>
                <w:lang w:eastAsia="zh-CN"/>
              </w:rPr>
              <w:t>1</w:t>
            </w:r>
            <w:r>
              <w:rPr>
                <w:sz w:val="24"/>
                <w:lang w:eastAsia="zh-CN"/>
              </w:rPr>
              <w:t>.《海南省商务厅</w:t>
            </w:r>
            <w:r>
              <w:rPr>
                <w:rFonts w:hint="eastAsia"/>
                <w:sz w:val="24"/>
                <w:lang w:eastAsia="zh-CN"/>
              </w:rPr>
              <w:t>促消费活动消费券项目绩效自评报告</w:t>
            </w:r>
            <w:r>
              <w:rPr>
                <w:sz w:val="24"/>
                <w:lang w:eastAsia="zh-CN"/>
              </w:rPr>
              <w:t>》；</w:t>
            </w:r>
          </w:p>
          <w:p>
            <w:pPr>
              <w:pStyle w:val="25"/>
              <w:spacing w:before="6"/>
              <w:ind w:left="107"/>
              <w:rPr>
                <w:sz w:val="24"/>
                <w:lang w:eastAsia="zh-CN"/>
              </w:rPr>
            </w:pPr>
            <w:r>
              <w:rPr>
                <w:rFonts w:hint="eastAsia"/>
                <w:sz w:val="24"/>
                <w:lang w:eastAsia="zh-CN"/>
              </w:rPr>
              <w:t>2</w:t>
            </w:r>
            <w:r>
              <w:rPr>
                <w:sz w:val="24"/>
                <w:lang w:eastAsia="zh-CN"/>
              </w:rPr>
              <w:t>.</w:t>
            </w:r>
            <w:r>
              <w:rPr>
                <w:rFonts w:hint="eastAsia"/>
                <w:sz w:val="24"/>
                <w:lang w:eastAsia="zh-CN"/>
              </w:rPr>
              <w:t>《促消费活动消费券项目支出绩效自评表》。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807" w:type="dxa"/>
            <w:tcBorders>
              <w:top w:val="nil"/>
            </w:tcBorders>
            <w:vAlign w:val="top"/>
          </w:tcPr>
          <w:p>
            <w:pPr>
              <w:pStyle w:val="25"/>
              <w:ind w:left="159" w:right="152"/>
              <w:jc w:val="center"/>
              <w:rPr>
                <w:sz w:val="24"/>
                <w:lang w:eastAsia="zh-CN"/>
              </w:rPr>
            </w:pPr>
          </w:p>
          <w:p>
            <w:pPr>
              <w:pStyle w:val="25"/>
              <w:jc w:val="center"/>
              <w:rPr>
                <w:rFonts w:ascii="Times New Roman"/>
                <w:sz w:val="24"/>
                <w:lang w:eastAsia="zh-CN"/>
              </w:rPr>
            </w:pPr>
            <w:r>
              <w:rPr>
                <w:sz w:val="24"/>
              </w:rPr>
              <w:t>其他依据</w:t>
            </w:r>
          </w:p>
        </w:tc>
        <w:tc>
          <w:tcPr>
            <w:tcW w:w="6715" w:type="dxa"/>
            <w:tcBorders>
              <w:top w:val="nil"/>
            </w:tcBorders>
            <w:vAlign w:val="top"/>
          </w:tcPr>
          <w:p>
            <w:pPr>
              <w:pStyle w:val="25"/>
              <w:spacing w:before="18"/>
              <w:ind w:left="107"/>
              <w:rPr>
                <w:sz w:val="24"/>
              </w:rPr>
            </w:pPr>
            <w:r>
              <w:rPr>
                <w:sz w:val="24"/>
              </w:rPr>
              <w:t>（一）行业信息资料：</w:t>
            </w:r>
          </w:p>
          <w:p>
            <w:pPr>
              <w:pStyle w:val="25"/>
              <w:numPr>
                <w:ilvl w:val="0"/>
                <w:numId w:val="1"/>
              </w:numPr>
              <w:tabs>
                <w:tab w:val="left" w:pos="349"/>
              </w:tabs>
              <w:spacing w:before="11"/>
              <w:rPr>
                <w:sz w:val="24"/>
                <w:lang w:eastAsia="zh-CN"/>
              </w:rPr>
            </w:pPr>
            <w:r>
              <w:rPr>
                <w:sz w:val="24"/>
                <w:lang w:eastAsia="zh-CN"/>
              </w:rPr>
              <w:t>《中华人民共和国预算法》；</w:t>
            </w:r>
          </w:p>
          <w:p>
            <w:pPr>
              <w:pStyle w:val="25"/>
              <w:tabs>
                <w:tab w:val="left" w:pos="349"/>
              </w:tabs>
              <w:spacing w:before="14" w:line="249" w:lineRule="auto"/>
              <w:ind w:left="107" w:right="355"/>
              <w:rPr>
                <w:sz w:val="24"/>
                <w:lang w:eastAsia="zh-CN"/>
              </w:rPr>
            </w:pPr>
            <w:r>
              <w:rPr>
                <w:rFonts w:hint="eastAsia"/>
                <w:sz w:val="24"/>
                <w:lang w:eastAsia="zh-CN"/>
              </w:rPr>
              <w:t>（二）其他相关资料</w:t>
            </w:r>
          </w:p>
          <w:p>
            <w:pPr>
              <w:pStyle w:val="25"/>
              <w:spacing w:before="6"/>
              <w:ind w:left="107"/>
              <w:rPr>
                <w:sz w:val="24"/>
                <w:lang w:eastAsia="zh-CN"/>
              </w:rPr>
            </w:pPr>
            <w:r>
              <w:rPr>
                <w:rFonts w:hint="eastAsia"/>
                <w:sz w:val="24"/>
                <w:lang w:eastAsia="zh-CN"/>
              </w:rPr>
              <w:t>1</w:t>
            </w:r>
            <w:r>
              <w:rPr>
                <w:sz w:val="24"/>
                <w:lang w:eastAsia="zh-CN"/>
              </w:rPr>
              <w:t>.《2023年海南省、市县安排的约2亿元消费券资金</w:t>
            </w:r>
            <w:r>
              <w:rPr>
                <w:rFonts w:hint="eastAsia"/>
                <w:sz w:val="24"/>
                <w:lang w:eastAsia="zh-CN"/>
              </w:rPr>
              <w:t>使用情况、发放效果专项审核报告》</w:t>
            </w:r>
          </w:p>
        </w:tc>
      </w:tr>
    </w:tbl>
    <w:p>
      <w:pPr>
        <w:pStyle w:val="5"/>
        <w:spacing w:before="10"/>
        <w:rPr>
          <w:sz w:val="5"/>
          <w:lang w:eastAsia="zh-CN"/>
        </w:rPr>
      </w:pPr>
    </w:p>
    <w:p>
      <w:pPr>
        <w:pStyle w:val="3"/>
        <w:spacing w:before="0" w:after="0" w:line="600" w:lineRule="exact"/>
        <w:ind w:firstLine="640" w:firstLineChars="200"/>
        <w:rPr>
          <w:rFonts w:ascii="楷体" w:hAnsi="楷体" w:eastAsia="楷体" w:cs="楷体"/>
          <w:b w:val="0"/>
          <w:bCs w:val="0"/>
          <w:lang w:eastAsia="zh-CN"/>
        </w:rPr>
      </w:pPr>
      <w:bookmarkStart w:id="31" w:name="_bookmark9"/>
      <w:bookmarkEnd w:id="31"/>
      <w:bookmarkStart w:id="32" w:name="_Toc167789380"/>
      <w:r>
        <w:rPr>
          <w:rFonts w:hint="eastAsia" w:ascii="楷体" w:hAnsi="楷体" w:eastAsia="楷体" w:cs="楷体"/>
          <w:b w:val="0"/>
          <w:bCs w:val="0"/>
          <w:lang w:eastAsia="zh-CN"/>
        </w:rPr>
        <w:t>(六)评价指标体系设置</w:t>
      </w:r>
      <w:bookmarkEnd w:id="32"/>
    </w:p>
    <w:p>
      <w:pPr>
        <w:pStyle w:val="5"/>
        <w:spacing w:line="580" w:lineRule="exact"/>
        <w:ind w:right="245" w:firstLine="640" w:firstLineChars="200"/>
        <w:jc w:val="both"/>
        <w:rPr>
          <w:lang w:eastAsia="zh-CN"/>
        </w:rPr>
      </w:pPr>
      <w:r>
        <w:rPr>
          <w:lang w:eastAsia="zh-CN"/>
        </w:rPr>
        <w:t>本次评价采用目标预定与实施效果比较、定性与定量综合分析、自评材料审核与实地访谈、核查相结合等方法，对项目决策、过程、产出和效益方面进行全面综合评价，确定 了包括 4 项一级指标，</w:t>
      </w:r>
      <w:r>
        <w:rPr>
          <w:rFonts w:hint="eastAsia"/>
          <w:lang w:eastAsia="zh-CN"/>
        </w:rPr>
        <w:t>9</w:t>
      </w:r>
      <w:r>
        <w:rPr>
          <w:lang w:eastAsia="zh-CN"/>
        </w:rPr>
        <w:t>项二级指标，1</w:t>
      </w:r>
      <w:r>
        <w:rPr>
          <w:rFonts w:hint="eastAsia"/>
          <w:lang w:eastAsia="zh-CN"/>
        </w:rPr>
        <w:t>9</w:t>
      </w:r>
      <w:r>
        <w:rPr>
          <w:lang w:eastAsia="zh-CN"/>
        </w:rPr>
        <w:t xml:space="preserve">项三级指标的评价指标体系。该指标体系采用百分制计分法，其中决策 20分、过程 20 分、产出 30 分和效益 30 分（详见附件 </w:t>
      </w:r>
      <w:r>
        <w:rPr>
          <w:rFonts w:hint="eastAsia"/>
          <w:lang w:eastAsia="zh-CN"/>
        </w:rPr>
        <w:t>1</w:t>
      </w:r>
      <w:r>
        <w:rPr>
          <w:lang w:eastAsia="zh-CN"/>
        </w:rPr>
        <w:t>）。</w:t>
      </w:r>
    </w:p>
    <w:p>
      <w:pPr>
        <w:pStyle w:val="3"/>
        <w:spacing w:before="0" w:after="0" w:line="580" w:lineRule="exact"/>
        <w:ind w:firstLine="640" w:firstLineChars="200"/>
        <w:rPr>
          <w:rFonts w:ascii="楷体" w:hAnsi="楷体" w:eastAsia="楷体" w:cs="楷体"/>
          <w:b w:val="0"/>
          <w:bCs w:val="0"/>
          <w:lang w:eastAsia="zh-CN"/>
        </w:rPr>
      </w:pPr>
      <w:bookmarkStart w:id="33" w:name="_bookmark10"/>
      <w:bookmarkEnd w:id="33"/>
      <w:bookmarkStart w:id="34" w:name="_Toc167789381"/>
      <w:r>
        <w:rPr>
          <w:rFonts w:hint="eastAsia" w:ascii="楷体" w:hAnsi="楷体" w:eastAsia="楷体" w:cs="楷体"/>
          <w:b w:val="0"/>
          <w:bCs w:val="0"/>
          <w:lang w:eastAsia="zh-CN"/>
        </w:rPr>
        <w:t>(七)评价工作组织实施</w:t>
      </w:r>
      <w:bookmarkEnd w:id="34"/>
    </w:p>
    <w:p>
      <w:pPr>
        <w:pStyle w:val="5"/>
        <w:spacing w:line="580" w:lineRule="exact"/>
        <w:ind w:right="245" w:firstLine="640" w:firstLineChars="200"/>
        <w:jc w:val="both"/>
        <w:rPr>
          <w:lang w:eastAsia="zh-CN"/>
        </w:rPr>
      </w:pPr>
      <w:r>
        <w:rPr>
          <w:lang w:eastAsia="zh-CN"/>
        </w:rPr>
        <w:t>本次评价工作主要经过了单位资料收集、书面评价、现场访谈及核查、综合评价、撰写报告 5个阶段：</w:t>
      </w:r>
    </w:p>
    <w:p>
      <w:pPr>
        <w:pStyle w:val="23"/>
        <w:tabs>
          <w:tab w:val="left" w:pos="1183"/>
        </w:tabs>
        <w:spacing w:line="580" w:lineRule="exact"/>
        <w:ind w:left="0" w:firstLine="640" w:firstLineChars="200"/>
        <w:rPr>
          <w:rFonts w:ascii="仿宋" w:eastAsia="仿宋"/>
          <w:b w:val="0"/>
          <w:bCs w:val="0"/>
          <w:lang w:eastAsia="zh-CN"/>
        </w:rPr>
      </w:pPr>
      <w:r>
        <w:rPr>
          <w:rFonts w:hint="eastAsia" w:ascii="仿宋" w:eastAsia="仿宋"/>
          <w:b w:val="0"/>
          <w:bCs w:val="0"/>
          <w:lang w:eastAsia="zh-CN"/>
        </w:rPr>
        <w:t>1.单位资料收集</w:t>
      </w:r>
    </w:p>
    <w:p>
      <w:pPr>
        <w:pStyle w:val="5"/>
        <w:spacing w:line="580" w:lineRule="exact"/>
        <w:ind w:right="245" w:firstLine="640" w:firstLineChars="200"/>
        <w:jc w:val="both"/>
        <w:rPr>
          <w:lang w:eastAsia="zh-CN"/>
        </w:rPr>
      </w:pPr>
      <w:r>
        <w:rPr>
          <w:lang w:eastAsia="zh-CN"/>
        </w:rPr>
        <w:t>项目</w:t>
      </w:r>
      <w:r>
        <w:rPr>
          <w:rFonts w:hint="eastAsia"/>
          <w:lang w:eastAsia="zh-CN"/>
        </w:rPr>
        <w:t>工作人员</w:t>
      </w:r>
      <w:r>
        <w:rPr>
          <w:lang w:eastAsia="zh-CN"/>
        </w:rPr>
        <w:t>根据</w:t>
      </w:r>
      <w:r>
        <w:rPr>
          <w:rFonts w:hint="eastAsia"/>
          <w:lang w:eastAsia="zh-CN"/>
        </w:rPr>
        <w:t>海南</w:t>
      </w:r>
      <w:r>
        <w:rPr>
          <w:lang w:eastAsia="zh-CN"/>
        </w:rPr>
        <w:t>财政厅下达的通知以及绩效评价的工作要求，组织收集材料，完成后将材料提交至</w:t>
      </w:r>
      <w:r>
        <w:rPr>
          <w:rFonts w:hint="eastAsia"/>
          <w:lang w:eastAsia="zh-CN"/>
        </w:rPr>
        <w:t>海南省商务厅</w:t>
      </w:r>
      <w:r>
        <w:rPr>
          <w:lang w:eastAsia="zh-CN"/>
        </w:rPr>
        <w:t>。</w:t>
      </w:r>
    </w:p>
    <w:p>
      <w:pPr>
        <w:pStyle w:val="23"/>
        <w:tabs>
          <w:tab w:val="left" w:pos="1183"/>
        </w:tabs>
        <w:spacing w:line="580" w:lineRule="exact"/>
        <w:ind w:left="0" w:firstLine="640" w:firstLineChars="200"/>
        <w:rPr>
          <w:rFonts w:ascii="仿宋" w:eastAsia="仿宋"/>
          <w:b w:val="0"/>
          <w:bCs w:val="0"/>
          <w:lang w:eastAsia="zh-CN"/>
        </w:rPr>
      </w:pPr>
      <w:r>
        <w:rPr>
          <w:rFonts w:hint="eastAsia" w:ascii="仿宋" w:eastAsia="仿宋"/>
          <w:b w:val="0"/>
          <w:bCs w:val="0"/>
          <w:lang w:eastAsia="zh-CN"/>
        </w:rPr>
        <w:t>2.书面评价</w:t>
      </w:r>
    </w:p>
    <w:p>
      <w:pPr>
        <w:pStyle w:val="5"/>
        <w:spacing w:line="580" w:lineRule="exact"/>
        <w:ind w:right="244" w:firstLine="640" w:firstLineChars="200"/>
        <w:jc w:val="both"/>
        <w:rPr>
          <w:lang w:eastAsia="zh-CN"/>
        </w:rPr>
      </w:pPr>
      <w:r>
        <w:rPr>
          <w:rFonts w:hint="eastAsia"/>
          <w:lang w:eastAsia="zh-CN"/>
        </w:rPr>
        <w:t>海南省商务厅</w:t>
      </w:r>
      <w:r>
        <w:rPr>
          <w:lang w:eastAsia="zh-CN"/>
        </w:rPr>
        <w:t>委托</w:t>
      </w:r>
      <w:r>
        <w:rPr>
          <w:rFonts w:hint="eastAsia"/>
          <w:lang w:eastAsia="zh-CN"/>
        </w:rPr>
        <w:t>海南中欧</w:t>
      </w:r>
      <w:r>
        <w:rPr>
          <w:lang w:eastAsia="zh-CN"/>
        </w:rPr>
        <w:t>会计师事务所</w:t>
      </w:r>
      <w:r>
        <w:rPr>
          <w:rFonts w:hint="eastAsia"/>
          <w:lang w:eastAsia="zh-CN"/>
        </w:rPr>
        <w:t>有限公司</w:t>
      </w:r>
      <w:r>
        <w:rPr>
          <w:lang w:eastAsia="zh-CN"/>
        </w:rPr>
        <w:t>组建绩效评价小组</w:t>
      </w:r>
      <w:r>
        <w:rPr>
          <w:rFonts w:hint="eastAsia"/>
          <w:lang w:eastAsia="zh-CN"/>
        </w:rPr>
        <w:t>。首先，评价小组对本项目自评材料进行审核</w:t>
      </w:r>
      <w:r>
        <w:rPr>
          <w:lang w:eastAsia="zh-CN"/>
        </w:rPr>
        <w:t>，并对材料的及时性、完整性、规范性及内容有效性进行核查。同时，评价小组根据项目材料和绩效评价指标体系出具书面评价意见，并拟定现场访谈和核查的问题清单和补充材料清单。</w:t>
      </w:r>
    </w:p>
    <w:p>
      <w:pPr>
        <w:pStyle w:val="23"/>
        <w:tabs>
          <w:tab w:val="left" w:pos="1183"/>
        </w:tabs>
        <w:spacing w:line="580" w:lineRule="exact"/>
        <w:ind w:left="0" w:firstLine="640" w:firstLineChars="200"/>
        <w:rPr>
          <w:rFonts w:ascii="仿宋" w:eastAsia="仿宋"/>
          <w:b w:val="0"/>
          <w:bCs w:val="0"/>
          <w:lang w:eastAsia="zh-CN"/>
        </w:rPr>
      </w:pPr>
      <w:r>
        <w:rPr>
          <w:rFonts w:hint="eastAsia" w:ascii="仿宋" w:eastAsia="仿宋"/>
          <w:b w:val="0"/>
          <w:bCs w:val="0"/>
          <w:lang w:eastAsia="zh-CN"/>
        </w:rPr>
        <w:t>3.现场访谈及核查</w:t>
      </w:r>
    </w:p>
    <w:p>
      <w:pPr>
        <w:pStyle w:val="5"/>
        <w:spacing w:line="580" w:lineRule="exact"/>
        <w:ind w:right="245" w:firstLine="640" w:firstLineChars="200"/>
        <w:jc w:val="both"/>
        <w:rPr>
          <w:lang w:eastAsia="zh-CN"/>
        </w:rPr>
      </w:pPr>
      <w:r>
        <w:rPr>
          <w:lang w:eastAsia="zh-CN"/>
        </w:rPr>
        <w:t>评价小组根据自评材料、现场访谈和核查的问题清单，组织开展现场核查。评价小组与项目相关负责人进行了现场座谈，并针对核查问题清单进行调研、记录，搜集补充佐证材料。</w:t>
      </w:r>
    </w:p>
    <w:p>
      <w:pPr>
        <w:pStyle w:val="23"/>
        <w:tabs>
          <w:tab w:val="left" w:pos="1183"/>
        </w:tabs>
        <w:spacing w:line="600" w:lineRule="exact"/>
        <w:ind w:left="0" w:right="257" w:firstLine="640" w:firstLineChars="200"/>
        <w:jc w:val="both"/>
        <w:rPr>
          <w:b w:val="0"/>
          <w:bCs w:val="0"/>
          <w:lang w:eastAsia="zh-CN"/>
        </w:rPr>
      </w:pPr>
      <w:r>
        <w:rPr>
          <w:rFonts w:hint="eastAsia" w:ascii="仿宋" w:eastAsia="仿宋"/>
          <w:b w:val="0"/>
          <w:bCs w:val="0"/>
          <w:lang w:eastAsia="zh-CN"/>
        </w:rPr>
        <w:t>4.综合评价</w:t>
      </w:r>
    </w:p>
    <w:p>
      <w:pPr>
        <w:pStyle w:val="5"/>
        <w:spacing w:line="600" w:lineRule="exact"/>
        <w:ind w:right="245" w:firstLine="640" w:firstLineChars="200"/>
        <w:jc w:val="both"/>
        <w:rPr>
          <w:lang w:eastAsia="zh-CN"/>
        </w:rPr>
      </w:pPr>
      <w:r>
        <w:rPr>
          <w:lang w:eastAsia="zh-CN"/>
        </w:rPr>
        <w:t>评价小组基于前期的单位自评材料、书面评价意见、现场访谈及核查情况，组织开展综合评价，并撰写及探讨商定综合评价意见，以保证评价意见客观、详细、明确及具有建设性。</w:t>
      </w:r>
    </w:p>
    <w:p>
      <w:pPr>
        <w:pStyle w:val="23"/>
        <w:tabs>
          <w:tab w:val="left" w:pos="1183"/>
        </w:tabs>
        <w:spacing w:line="600" w:lineRule="exact"/>
        <w:ind w:left="0" w:firstLine="640" w:firstLineChars="200"/>
        <w:rPr>
          <w:rFonts w:ascii="仿宋" w:eastAsia="仿宋"/>
          <w:lang w:eastAsia="zh-CN"/>
        </w:rPr>
      </w:pPr>
      <w:r>
        <w:rPr>
          <w:rFonts w:hint="eastAsia" w:ascii="仿宋" w:eastAsia="仿宋"/>
          <w:b w:val="0"/>
          <w:bCs w:val="0"/>
          <w:lang w:eastAsia="zh-CN"/>
        </w:rPr>
        <w:t>5.撰写及提交报告</w:t>
      </w:r>
    </w:p>
    <w:p>
      <w:pPr>
        <w:pStyle w:val="5"/>
        <w:spacing w:line="600" w:lineRule="exact"/>
        <w:ind w:right="257" w:firstLine="636" w:firstLineChars="200"/>
        <w:jc w:val="both"/>
        <w:rPr>
          <w:lang w:eastAsia="zh-CN"/>
        </w:rPr>
      </w:pPr>
      <w:r>
        <w:rPr>
          <w:spacing w:val="-1"/>
          <w:lang w:eastAsia="zh-CN"/>
        </w:rPr>
        <w:t>评价小组综合前期资料审核和分析、综合评价意见等情</w:t>
      </w:r>
      <w:r>
        <w:rPr>
          <w:spacing w:val="-3"/>
          <w:lang w:eastAsia="zh-CN"/>
        </w:rPr>
        <w:t>况，按要求撰写完成及提交本绩效评价报告</w:t>
      </w:r>
      <w:r>
        <w:rPr>
          <w:lang w:eastAsia="zh-CN"/>
        </w:rPr>
        <w:t>（包含绩效评价指标评分表）。</w:t>
      </w:r>
    </w:p>
    <w:p>
      <w:pPr>
        <w:pStyle w:val="2"/>
        <w:spacing w:before="0" w:after="0" w:line="600" w:lineRule="exact"/>
        <w:ind w:firstLine="640" w:firstLineChars="200"/>
        <w:rPr>
          <w:rFonts w:eastAsia="仿宋"/>
          <w:lang w:eastAsia="zh-CN"/>
        </w:rPr>
      </w:pPr>
      <w:bookmarkStart w:id="35" w:name="_bookmark11"/>
      <w:bookmarkEnd w:id="35"/>
      <w:bookmarkStart w:id="36" w:name="_Toc167789382"/>
      <w:r>
        <w:rPr>
          <w:rFonts w:hint="eastAsia" w:ascii="黑体" w:hAnsi="黑体" w:cs="黑体"/>
          <w:b w:val="0"/>
          <w:bCs w:val="0"/>
          <w:lang w:eastAsia="zh-CN"/>
        </w:rPr>
        <w:t>三、综合评价情况及评价结论</w:t>
      </w:r>
      <w:bookmarkEnd w:id="36"/>
    </w:p>
    <w:p>
      <w:pPr>
        <w:pStyle w:val="3"/>
        <w:spacing w:before="0" w:after="0" w:line="600" w:lineRule="exact"/>
        <w:ind w:firstLine="640" w:firstLineChars="200"/>
        <w:rPr>
          <w:rFonts w:ascii="楷体" w:hAnsi="楷体" w:eastAsia="楷体" w:cs="楷体"/>
          <w:b w:val="0"/>
          <w:bCs w:val="0"/>
          <w:lang w:eastAsia="zh-CN"/>
        </w:rPr>
      </w:pPr>
      <w:bookmarkStart w:id="37" w:name="_bookmark12"/>
      <w:bookmarkEnd w:id="37"/>
      <w:bookmarkStart w:id="38" w:name="_Toc167789383"/>
      <w:r>
        <w:rPr>
          <w:rFonts w:hint="eastAsia" w:ascii="楷体" w:hAnsi="楷体" w:eastAsia="楷体" w:cs="楷体"/>
          <w:b w:val="0"/>
          <w:bCs w:val="0"/>
          <w:lang w:eastAsia="zh-CN"/>
        </w:rPr>
        <w:t>(一)综合评价情况</w:t>
      </w:r>
      <w:bookmarkEnd w:id="38"/>
    </w:p>
    <w:p>
      <w:pPr>
        <w:pStyle w:val="5"/>
        <w:spacing w:line="600" w:lineRule="exact"/>
        <w:ind w:right="257" w:firstLine="636" w:firstLineChars="200"/>
        <w:jc w:val="both"/>
        <w:rPr>
          <w:spacing w:val="-1"/>
          <w:lang w:eastAsia="zh-CN"/>
        </w:rPr>
      </w:pPr>
      <w:r>
        <w:rPr>
          <w:spacing w:val="-1"/>
          <w:lang w:eastAsia="zh-CN"/>
        </w:rPr>
        <w:t>经综合评价，海南省商务厅按照相关规定，开展项目实施工作，项目立项充分，资金申请拨付流程完整</w:t>
      </w:r>
      <w:r>
        <w:rPr>
          <w:rFonts w:hint="eastAsia"/>
          <w:spacing w:val="-1"/>
          <w:lang w:eastAsia="zh-CN"/>
        </w:rPr>
        <w:t>。</w:t>
      </w:r>
      <w:r>
        <w:rPr>
          <w:spacing w:val="-1"/>
          <w:lang w:eastAsia="zh-CN"/>
        </w:rPr>
        <w:t>3,000万离岛免税消费券共核销2,949.72万元，核销率98.32%，使用消费券直接购物金额7.86亿元，拉动系数为26.6，</w:t>
      </w:r>
      <w:r>
        <w:rPr>
          <w:spacing w:val="-8"/>
          <w:lang w:eastAsia="zh-CN"/>
        </w:rPr>
        <w:t>有效推动了离岛免税消费，激活了消费市场，杠杆效益明显。</w:t>
      </w:r>
    </w:p>
    <w:p>
      <w:pPr>
        <w:pStyle w:val="3"/>
        <w:spacing w:before="0" w:after="0" w:line="600" w:lineRule="exact"/>
        <w:ind w:firstLine="640" w:firstLineChars="200"/>
        <w:rPr>
          <w:rFonts w:ascii="楷体" w:hAnsi="楷体" w:eastAsia="楷体" w:cs="楷体"/>
          <w:b w:val="0"/>
          <w:bCs w:val="0"/>
          <w:lang w:eastAsia="zh-CN"/>
        </w:rPr>
      </w:pPr>
      <w:bookmarkStart w:id="39" w:name="_bookmark13"/>
      <w:bookmarkEnd w:id="39"/>
      <w:bookmarkStart w:id="40" w:name="_Toc167789384"/>
      <w:r>
        <w:rPr>
          <w:rFonts w:hint="eastAsia" w:ascii="楷体" w:hAnsi="楷体" w:eastAsia="楷体" w:cs="楷体"/>
          <w:b w:val="0"/>
          <w:bCs w:val="0"/>
          <w:lang w:eastAsia="zh-CN"/>
        </w:rPr>
        <w:t>(二)评价结论</w:t>
      </w:r>
      <w:bookmarkEnd w:id="40"/>
    </w:p>
    <w:p>
      <w:pPr>
        <w:pStyle w:val="5"/>
        <w:spacing w:line="600" w:lineRule="exact"/>
        <w:ind w:right="257" w:firstLine="636" w:firstLineChars="200"/>
        <w:jc w:val="both"/>
        <w:rPr>
          <w:spacing w:val="-1"/>
          <w:lang w:eastAsia="zh-CN"/>
        </w:rPr>
      </w:pPr>
      <w:r>
        <w:rPr>
          <w:spacing w:val="-1"/>
          <w:lang w:eastAsia="zh-CN"/>
        </w:rPr>
        <w:t>基于书面及现场核查结果及相关佐证材料分析，本项目综合评价最终得分为93.49分，绩效等级为“</w:t>
      </w:r>
      <w:r>
        <w:rPr>
          <w:rFonts w:hint="eastAsia"/>
          <w:spacing w:val="-1"/>
          <w:lang w:eastAsia="zh-CN"/>
        </w:rPr>
        <w:t>优</w:t>
      </w:r>
      <w:r>
        <w:rPr>
          <w:spacing w:val="-1"/>
          <w:lang w:eastAsia="zh-CN"/>
        </w:rPr>
        <w:t>”，详见下表及附件</w:t>
      </w:r>
      <w:r>
        <w:rPr>
          <w:rFonts w:hint="eastAsia"/>
          <w:spacing w:val="-1"/>
          <w:lang w:eastAsia="zh-CN"/>
        </w:rPr>
        <w:t>1。</w:t>
      </w:r>
    </w:p>
    <w:tbl>
      <w:tblPr>
        <w:tblStyle w:val="13"/>
        <w:tblW w:w="9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5"/>
        <w:gridCol w:w="2259"/>
        <w:gridCol w:w="2167"/>
        <w:gridCol w:w="1106"/>
        <w:gridCol w:w="1153"/>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105"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一级指标</w:t>
            </w:r>
          </w:p>
        </w:tc>
        <w:tc>
          <w:tcPr>
            <w:tcW w:w="225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二级指标</w:t>
            </w:r>
          </w:p>
        </w:tc>
        <w:tc>
          <w:tcPr>
            <w:tcW w:w="2167"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三级指标</w:t>
            </w:r>
          </w:p>
        </w:tc>
        <w:tc>
          <w:tcPr>
            <w:tcW w:w="1106"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权重</w:t>
            </w:r>
          </w:p>
        </w:tc>
        <w:tc>
          <w:tcPr>
            <w:tcW w:w="1153"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得分</w:t>
            </w:r>
          </w:p>
        </w:tc>
        <w:tc>
          <w:tcPr>
            <w:tcW w:w="1216"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决策</w:t>
            </w:r>
          </w:p>
        </w:tc>
        <w:tc>
          <w:tcPr>
            <w:tcW w:w="2259"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项目立项</w:t>
            </w: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立项依据充分性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立项程序规范性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3</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3</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绩效目标</w:t>
            </w: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绩效目标合理性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2</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绩效指标明确性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3</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1.5</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资金投入</w:t>
            </w: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预算编制科学性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资金分配合理性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2</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2</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4426" w:type="dxa"/>
            <w:gridSpan w:val="2"/>
            <w:tcBorders>
              <w:top w:val="nil"/>
              <w:left w:val="nil"/>
              <w:bottom w:val="single" w:color="auto" w:sz="8" w:space="0"/>
              <w:right w:val="single" w:color="000000"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小计</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20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16.5</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过程</w:t>
            </w:r>
          </w:p>
        </w:tc>
        <w:tc>
          <w:tcPr>
            <w:tcW w:w="2259"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资金管理</w:t>
            </w: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资金到位率</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预算执行率</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3.93</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资金使用合规性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组织实施</w:t>
            </w: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管理制度健全性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2</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1.5</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制度执行有效性</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6</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6</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4426" w:type="dxa"/>
            <w:gridSpan w:val="2"/>
            <w:tcBorders>
              <w:top w:val="nil"/>
              <w:left w:val="nil"/>
              <w:bottom w:val="single" w:color="auto" w:sz="8" w:space="0"/>
              <w:right w:val="single" w:color="000000"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小计</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20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19.43</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97.15%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产出</w:t>
            </w:r>
          </w:p>
        </w:tc>
        <w:tc>
          <w:tcPr>
            <w:tcW w:w="2259" w:type="dxa"/>
            <w:tcBorders>
              <w:top w:val="nil"/>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产出数量</w:t>
            </w:r>
          </w:p>
        </w:tc>
        <w:tc>
          <w:tcPr>
            <w:tcW w:w="2167" w:type="dxa"/>
            <w:tcBorders>
              <w:top w:val="nil"/>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实际完成率</w:t>
            </w:r>
          </w:p>
        </w:tc>
        <w:tc>
          <w:tcPr>
            <w:tcW w:w="1106" w:type="dxa"/>
            <w:tcBorders>
              <w:top w:val="nil"/>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12</w:t>
            </w:r>
          </w:p>
        </w:tc>
        <w:tc>
          <w:tcPr>
            <w:tcW w:w="1153" w:type="dxa"/>
            <w:tcBorders>
              <w:top w:val="nil"/>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 xml:space="preserve"> 11.80 </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98.33%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tcBorders>
              <w:top w:val="single" w:color="000000" w:sz="8" w:space="0"/>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产出质量</w:t>
            </w:r>
          </w:p>
        </w:tc>
        <w:tc>
          <w:tcPr>
            <w:tcW w:w="2167" w:type="dxa"/>
            <w:tcBorders>
              <w:top w:val="single" w:color="000000" w:sz="8" w:space="0"/>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质量达标率</w:t>
            </w:r>
          </w:p>
        </w:tc>
        <w:tc>
          <w:tcPr>
            <w:tcW w:w="1106" w:type="dxa"/>
            <w:tcBorders>
              <w:top w:val="single" w:color="000000" w:sz="8" w:space="0"/>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w:t>
            </w:r>
          </w:p>
        </w:tc>
        <w:tc>
          <w:tcPr>
            <w:tcW w:w="1153" w:type="dxa"/>
            <w:tcBorders>
              <w:top w:val="single" w:color="000000" w:sz="8" w:space="0"/>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tcBorders>
              <w:top w:val="single" w:color="000000" w:sz="8" w:space="0"/>
              <w:left w:val="nil"/>
              <w:bottom w:val="nil"/>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产出时效</w:t>
            </w:r>
          </w:p>
        </w:tc>
        <w:tc>
          <w:tcPr>
            <w:tcW w:w="2167" w:type="dxa"/>
            <w:tcBorders>
              <w:top w:val="single" w:color="000000" w:sz="8" w:space="0"/>
              <w:left w:val="nil"/>
              <w:bottom w:val="nil"/>
              <w:right w:val="nil"/>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完成及时性</w:t>
            </w:r>
          </w:p>
        </w:tc>
        <w:tc>
          <w:tcPr>
            <w:tcW w:w="11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8</w:t>
            </w:r>
          </w:p>
        </w:tc>
        <w:tc>
          <w:tcPr>
            <w:tcW w:w="11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8</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4426"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小计</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30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29.8</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效益</w:t>
            </w:r>
          </w:p>
        </w:tc>
        <w:tc>
          <w:tcPr>
            <w:tcW w:w="2259"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项目效益</w:t>
            </w: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社会效益</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9</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经济效益</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可持续影响</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6</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5</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259"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2167"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满意度</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4</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3.76</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color w:val="000000"/>
                <w:sz w:val="24"/>
                <w:szCs w:val="24"/>
                <w:lang w:eastAsia="zh-CN"/>
              </w:rPr>
            </w:pPr>
            <w:r>
              <w:rPr>
                <w:rFonts w:hint="eastAsia" w:cs="宋体"/>
                <w:color w:val="000000"/>
                <w:sz w:val="24"/>
                <w:szCs w:val="24"/>
                <w:lang w:eastAsia="zh-CN"/>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05"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cs="宋体"/>
                <w:color w:val="000000"/>
                <w:sz w:val="24"/>
                <w:szCs w:val="24"/>
                <w:lang w:eastAsia="zh-CN"/>
              </w:rPr>
            </w:pPr>
          </w:p>
        </w:tc>
        <w:tc>
          <w:tcPr>
            <w:tcW w:w="4426" w:type="dxa"/>
            <w:gridSpan w:val="2"/>
            <w:tcBorders>
              <w:top w:val="nil"/>
              <w:left w:val="nil"/>
              <w:bottom w:val="single" w:color="auto" w:sz="8" w:space="0"/>
              <w:right w:val="single" w:color="000000"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小计</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30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b/>
                <w:bCs/>
                <w:color w:val="000000"/>
                <w:sz w:val="24"/>
                <w:szCs w:val="24"/>
                <w:lang w:eastAsia="zh-CN"/>
              </w:rPr>
            </w:pPr>
            <w:r>
              <w:rPr>
                <w:rFonts w:hint="eastAsia" w:cs="宋体"/>
                <w:b/>
                <w:bCs/>
                <w:color w:val="000000"/>
                <w:sz w:val="24"/>
                <w:szCs w:val="24"/>
                <w:lang w:eastAsia="zh-CN"/>
              </w:rPr>
              <w:t>27.76</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531" w:type="dxa"/>
            <w:gridSpan w:val="3"/>
            <w:tcBorders>
              <w:top w:val="nil"/>
              <w:left w:val="single" w:color="auto" w:sz="8" w:space="0"/>
              <w:bottom w:val="single" w:color="auto" w:sz="8" w:space="0"/>
              <w:right w:val="single" w:color="000000"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合计</w:t>
            </w:r>
          </w:p>
        </w:tc>
        <w:tc>
          <w:tcPr>
            <w:tcW w:w="1106"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100</w:t>
            </w:r>
          </w:p>
        </w:tc>
        <w:tc>
          <w:tcPr>
            <w:tcW w:w="1153"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93.49</w:t>
            </w:r>
          </w:p>
        </w:tc>
        <w:tc>
          <w:tcPr>
            <w:tcW w:w="1216" w:type="dxa"/>
            <w:tcBorders>
              <w:top w:val="nil"/>
              <w:left w:val="nil"/>
              <w:bottom w:val="single" w:color="auto" w:sz="8" w:space="0"/>
              <w:right w:val="single" w:color="auto" w:sz="8" w:space="0"/>
            </w:tcBorders>
            <w:shd w:val="clear" w:color="000000" w:fill="FFFFFF"/>
            <w:vAlign w:val="center"/>
          </w:tcPr>
          <w:p>
            <w:pPr>
              <w:widowControl/>
              <w:jc w:val="center"/>
              <w:rPr>
                <w:rFonts w:cs="宋体"/>
                <w:b/>
                <w:color w:val="000000"/>
                <w:sz w:val="24"/>
                <w:szCs w:val="24"/>
                <w:lang w:eastAsia="zh-CN"/>
              </w:rPr>
            </w:pPr>
            <w:r>
              <w:rPr>
                <w:rFonts w:hint="eastAsia" w:cs="宋体"/>
                <w:b/>
                <w:color w:val="000000"/>
                <w:sz w:val="24"/>
                <w:szCs w:val="24"/>
                <w:lang w:eastAsia="zh-CN"/>
              </w:rPr>
              <w:t>93.49%</w:t>
            </w:r>
          </w:p>
        </w:tc>
      </w:tr>
    </w:tbl>
    <w:p>
      <w:pPr>
        <w:pStyle w:val="5"/>
        <w:spacing w:before="12"/>
        <w:rPr>
          <w:sz w:val="18"/>
          <w:lang w:eastAsia="zh-CN"/>
        </w:rPr>
      </w:pPr>
      <w:r>
        <w:rPr>
          <w:rFonts w:ascii="仿宋" w:hAnsi="仿宋" w:eastAsia="仿宋" w:cs="仿宋"/>
          <w:sz w:val="32"/>
          <w:szCs w:val="32"/>
          <w:lang w:val="en-US" w:eastAsia="zh-CN" w:bidi="ar-SA"/>
        </w:rPr>
        <w:pict>
          <v:line id="直接连接符 2" o:spid="_x0000_s1028" o:spt="20" style="position:absolute;left:0pt;margin-left:90pt;margin-top:12.15pt;height:0.05pt;width:144pt;mso-position-horizontal-relative:page;mso-wrap-distance-bottom:0pt;mso-wrap-distance-top:0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w10:wrap type="topAndBottom"/>
          </v:line>
        </w:pict>
      </w:r>
      <w:bookmarkStart w:id="41" w:name="_bookmark14"/>
      <w:bookmarkEnd w:id="41"/>
      <w:r>
        <w:rPr>
          <w:sz w:val="18"/>
          <w:lang w:eastAsia="zh-CN"/>
        </w:rPr>
        <w:t>注：</w:t>
      </w:r>
      <w:r>
        <w:rPr>
          <w:rFonts w:ascii="Times New Roman" w:eastAsia="Times New Roman"/>
          <w:sz w:val="18"/>
          <w:lang w:eastAsia="zh-CN"/>
        </w:rPr>
        <w:t>90</w:t>
      </w:r>
      <w:r>
        <w:rPr>
          <w:sz w:val="18"/>
          <w:lang w:eastAsia="zh-CN"/>
        </w:rPr>
        <w:t>（含）</w:t>
      </w:r>
      <w:r>
        <w:rPr>
          <w:rFonts w:ascii="Times New Roman" w:eastAsia="Times New Roman"/>
          <w:sz w:val="18"/>
          <w:lang w:eastAsia="zh-CN"/>
        </w:rPr>
        <w:t xml:space="preserve">-100 </w:t>
      </w:r>
      <w:r>
        <w:rPr>
          <w:sz w:val="18"/>
          <w:lang w:eastAsia="zh-CN"/>
        </w:rPr>
        <w:t>分为优、</w:t>
      </w:r>
      <w:r>
        <w:rPr>
          <w:rFonts w:ascii="Times New Roman" w:eastAsia="Times New Roman"/>
          <w:sz w:val="18"/>
          <w:lang w:eastAsia="zh-CN"/>
        </w:rPr>
        <w:t>80</w:t>
      </w:r>
      <w:r>
        <w:rPr>
          <w:sz w:val="18"/>
          <w:lang w:eastAsia="zh-CN"/>
        </w:rPr>
        <w:t>（含）</w:t>
      </w:r>
      <w:r>
        <w:rPr>
          <w:rFonts w:ascii="Times New Roman" w:eastAsia="Times New Roman"/>
          <w:sz w:val="18"/>
          <w:lang w:eastAsia="zh-CN"/>
        </w:rPr>
        <w:t xml:space="preserve">-90 </w:t>
      </w:r>
      <w:r>
        <w:rPr>
          <w:sz w:val="18"/>
          <w:lang w:eastAsia="zh-CN"/>
        </w:rPr>
        <w:t>分为良、</w:t>
      </w:r>
      <w:r>
        <w:rPr>
          <w:rFonts w:ascii="Times New Roman" w:eastAsia="Times New Roman"/>
          <w:sz w:val="18"/>
          <w:lang w:eastAsia="zh-CN"/>
        </w:rPr>
        <w:t>60</w:t>
      </w:r>
      <w:r>
        <w:rPr>
          <w:sz w:val="18"/>
          <w:lang w:eastAsia="zh-CN"/>
        </w:rPr>
        <w:t>（含）</w:t>
      </w:r>
      <w:r>
        <w:rPr>
          <w:rFonts w:ascii="Times New Roman" w:eastAsia="Times New Roman"/>
          <w:sz w:val="18"/>
          <w:lang w:eastAsia="zh-CN"/>
        </w:rPr>
        <w:t xml:space="preserve">-80 </w:t>
      </w:r>
      <w:r>
        <w:rPr>
          <w:sz w:val="18"/>
          <w:lang w:eastAsia="zh-CN"/>
        </w:rPr>
        <w:t>分为中、</w:t>
      </w:r>
      <w:r>
        <w:rPr>
          <w:rFonts w:ascii="Times New Roman" w:eastAsia="Times New Roman"/>
          <w:sz w:val="18"/>
          <w:lang w:eastAsia="zh-CN"/>
        </w:rPr>
        <w:t xml:space="preserve">60 </w:t>
      </w:r>
      <w:r>
        <w:rPr>
          <w:sz w:val="18"/>
          <w:lang w:eastAsia="zh-CN"/>
        </w:rPr>
        <w:t>分以下为差。</w:t>
      </w:r>
    </w:p>
    <w:p>
      <w:pPr>
        <w:pStyle w:val="5"/>
        <w:spacing w:before="12"/>
        <w:rPr>
          <w:sz w:val="18"/>
          <w:lang w:eastAsia="zh-CN"/>
        </w:rPr>
      </w:pPr>
    </w:p>
    <w:p>
      <w:pPr>
        <w:pStyle w:val="5"/>
        <w:spacing w:before="12"/>
        <w:rPr>
          <w:sz w:val="5"/>
          <w:lang w:eastAsia="zh-CN"/>
        </w:rPr>
      </w:pPr>
    </w:p>
    <w:p>
      <w:pPr>
        <w:pStyle w:val="2"/>
        <w:spacing w:before="0" w:after="0" w:line="600" w:lineRule="exact"/>
        <w:ind w:firstLine="640" w:firstLineChars="200"/>
        <w:rPr>
          <w:rFonts w:ascii="黑体" w:hAnsi="黑体" w:cs="黑体"/>
          <w:b w:val="0"/>
          <w:bCs w:val="0"/>
          <w:lang w:eastAsia="zh-CN"/>
        </w:rPr>
      </w:pPr>
      <w:bookmarkStart w:id="42" w:name="_bookmark15"/>
      <w:bookmarkEnd w:id="42"/>
      <w:bookmarkStart w:id="43" w:name="_Toc167789385"/>
      <w:r>
        <w:rPr>
          <w:rFonts w:hint="eastAsia" w:ascii="黑体" w:hAnsi="黑体" w:cs="黑体"/>
          <w:b w:val="0"/>
          <w:bCs w:val="0"/>
          <w:lang w:eastAsia="zh-CN"/>
        </w:rPr>
        <w:t>四、绩效评价指标分析</w:t>
      </w:r>
      <w:bookmarkEnd w:id="43"/>
    </w:p>
    <w:p>
      <w:pPr>
        <w:pStyle w:val="3"/>
        <w:spacing w:before="0" w:after="0" w:line="600" w:lineRule="exact"/>
        <w:ind w:firstLine="640" w:firstLineChars="200"/>
        <w:rPr>
          <w:rFonts w:ascii="楷体" w:hAnsi="楷体" w:eastAsia="楷体" w:cs="楷体"/>
          <w:b w:val="0"/>
          <w:bCs w:val="0"/>
          <w:lang w:eastAsia="zh-CN"/>
        </w:rPr>
      </w:pPr>
      <w:bookmarkStart w:id="44" w:name="_bookmark16"/>
      <w:bookmarkEnd w:id="44"/>
      <w:bookmarkStart w:id="45" w:name="_Toc167789386"/>
      <w:r>
        <w:rPr>
          <w:rFonts w:hint="eastAsia" w:ascii="楷体" w:hAnsi="楷体" w:eastAsia="楷体" w:cs="楷体"/>
          <w:b w:val="0"/>
          <w:bCs w:val="0"/>
          <w:lang w:eastAsia="zh-CN"/>
        </w:rPr>
        <w:t>(一)项目决策情况</w:t>
      </w:r>
      <w:bookmarkEnd w:id="45"/>
    </w:p>
    <w:p>
      <w:pPr>
        <w:pStyle w:val="5"/>
        <w:spacing w:line="600" w:lineRule="exact"/>
        <w:ind w:right="257" w:firstLine="636" w:firstLineChars="200"/>
        <w:jc w:val="both"/>
        <w:rPr>
          <w:spacing w:val="-1"/>
          <w:lang w:eastAsia="zh-CN"/>
        </w:rPr>
      </w:pPr>
      <w:r>
        <w:rPr>
          <w:spacing w:val="-1"/>
          <w:lang w:eastAsia="zh-CN"/>
        </w:rPr>
        <w:t>评价小组从项目立项、绩效目标、资金投入三个方面考核本项目决策情况，满分为 20 分，得 1</w:t>
      </w:r>
      <w:r>
        <w:rPr>
          <w:rFonts w:hint="eastAsia"/>
          <w:spacing w:val="-1"/>
          <w:lang w:eastAsia="zh-CN"/>
        </w:rPr>
        <w:t>6.5</w:t>
      </w:r>
      <w:r>
        <w:rPr>
          <w:spacing w:val="-1"/>
          <w:lang w:eastAsia="zh-CN"/>
        </w:rPr>
        <w:t>分，得分率为82.50%。本项目立项依据充分</w:t>
      </w:r>
      <w:r>
        <w:rPr>
          <w:rFonts w:hint="eastAsia"/>
          <w:spacing w:val="-1"/>
          <w:lang w:eastAsia="zh-CN"/>
        </w:rPr>
        <w:t>、立项程序规范、预算编制科学、资金分配合理，但</w:t>
      </w:r>
      <w:r>
        <w:rPr>
          <w:spacing w:val="-1"/>
          <w:lang w:eastAsia="zh-CN"/>
        </w:rPr>
        <w:t>绩效目标方面仍有提升空间。</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1.项目立项</w:t>
      </w:r>
    </w:p>
    <w:p>
      <w:pPr>
        <w:pStyle w:val="24"/>
        <w:tabs>
          <w:tab w:val="left" w:pos="1661"/>
        </w:tabs>
        <w:spacing w:line="600" w:lineRule="exact"/>
        <w:ind w:left="0" w:firstLine="640" w:firstLineChars="200"/>
        <w:rPr>
          <w:lang w:eastAsia="zh-CN"/>
        </w:rPr>
      </w:pPr>
      <w:r>
        <w:rPr>
          <w:rFonts w:hint="eastAsia"/>
          <w:lang w:eastAsia="zh-CN"/>
        </w:rPr>
        <w:t>（1）</w:t>
      </w:r>
      <w:r>
        <w:rPr>
          <w:lang w:eastAsia="zh-CN"/>
        </w:rPr>
        <w:t>立项依据充分性方面</w:t>
      </w:r>
    </w:p>
    <w:p>
      <w:pPr>
        <w:pStyle w:val="5"/>
        <w:spacing w:line="600" w:lineRule="exact"/>
        <w:ind w:right="257" w:firstLine="636" w:firstLineChars="200"/>
        <w:jc w:val="both"/>
        <w:rPr>
          <w:spacing w:val="-1"/>
          <w:lang w:eastAsia="zh-CN"/>
        </w:rPr>
      </w:pPr>
      <w:r>
        <w:rPr>
          <w:rFonts w:hint="eastAsia"/>
          <w:spacing w:val="-1"/>
          <w:lang w:eastAsia="zh-CN"/>
        </w:rPr>
        <w:t>本项目根据</w:t>
      </w:r>
      <w:r>
        <w:rPr>
          <w:spacing w:val="-1"/>
          <w:lang w:eastAsia="zh-CN"/>
        </w:rPr>
        <w:t>国家发改委《关于促进消费扩容提质加快形成强大国内市场的实施意见》（发改就业〔2020〕293 号）</w:t>
      </w:r>
      <w:r>
        <w:rPr>
          <w:rFonts w:hint="eastAsia"/>
          <w:spacing w:val="-1"/>
          <w:lang w:eastAsia="zh-CN"/>
        </w:rPr>
        <w:t>、</w:t>
      </w:r>
      <w:r>
        <w:rPr>
          <w:spacing w:val="-1"/>
          <w:lang w:eastAsia="zh-CN"/>
        </w:rPr>
        <w:t>国务院《关于进一步释放消费潜力促进消费持续恢复的意见》（国办发〔2022〕9 号）等文件要求设立，</w:t>
      </w:r>
      <w:r>
        <w:rPr>
          <w:rFonts w:hint="eastAsia"/>
          <w:spacing w:val="-3"/>
          <w:lang w:eastAsia="zh-CN"/>
        </w:rPr>
        <w:t>项目</w:t>
      </w:r>
      <w:r>
        <w:rPr>
          <w:spacing w:val="-1"/>
          <w:lang w:eastAsia="zh-CN"/>
        </w:rPr>
        <w:t>符合</w:t>
      </w:r>
      <w:r>
        <w:rPr>
          <w:rFonts w:hint="eastAsia"/>
          <w:spacing w:val="-1"/>
          <w:lang w:eastAsia="zh-CN"/>
        </w:rPr>
        <w:t>党的二十大精神、中央经济工作会议部署以及海南省委、省政府恢复和扩大消费工作要求</w:t>
      </w:r>
      <w:r>
        <w:rPr>
          <w:spacing w:val="-1"/>
          <w:lang w:eastAsia="zh-CN"/>
        </w:rPr>
        <w:t>。根据海南省商务厅提供的单位 “三定方案”，本项目的设立属于海南省商务厅履职所需，与海南省商务厅内部其他项目无重复</w:t>
      </w:r>
      <w:r>
        <w:rPr>
          <w:rFonts w:hint="eastAsia"/>
          <w:spacing w:val="-1"/>
          <w:lang w:eastAsia="zh-CN"/>
        </w:rPr>
        <w:t>。</w:t>
      </w:r>
      <w:r>
        <w:rPr>
          <w:spacing w:val="-1"/>
          <w:lang w:eastAsia="zh-CN"/>
        </w:rPr>
        <w:t>项目属于公共</w:t>
      </w:r>
      <w:r>
        <w:rPr>
          <w:rFonts w:hint="eastAsia"/>
          <w:spacing w:val="-1"/>
          <w:lang w:eastAsia="zh-CN"/>
        </w:rPr>
        <w:t>财政支持范围，符合中央、地方事权支出责任划分原则，</w:t>
      </w:r>
      <w:r>
        <w:rPr>
          <w:spacing w:val="-1"/>
          <w:lang w:eastAsia="zh-CN"/>
        </w:rPr>
        <w:t>故本项目立项依据充分。</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该指标标准得分4分，实际得分4分，得分率100%。</w:t>
      </w:r>
    </w:p>
    <w:p>
      <w:pPr>
        <w:pStyle w:val="24"/>
        <w:tabs>
          <w:tab w:val="left" w:pos="1661"/>
        </w:tabs>
        <w:spacing w:line="600" w:lineRule="exact"/>
        <w:ind w:left="0" w:firstLine="640" w:firstLineChars="200"/>
        <w:rPr>
          <w:lang w:eastAsia="zh-CN"/>
        </w:rPr>
      </w:pPr>
      <w:r>
        <w:rPr>
          <w:rFonts w:hint="eastAsia"/>
          <w:lang w:eastAsia="zh-CN"/>
        </w:rPr>
        <w:t>（2</w:t>
      </w:r>
      <w:r>
        <w:rPr>
          <w:rFonts w:hint="eastAsia"/>
          <w:spacing w:val="-1"/>
          <w:szCs w:val="32"/>
          <w:lang w:eastAsia="zh-CN"/>
        </w:rPr>
        <w:t>）</w:t>
      </w:r>
      <w:r>
        <w:rPr>
          <w:spacing w:val="-1"/>
          <w:szCs w:val="32"/>
          <w:lang w:eastAsia="zh-CN"/>
        </w:rPr>
        <w:t>立项程序规范性方面</w:t>
      </w:r>
    </w:p>
    <w:p>
      <w:pPr>
        <w:pStyle w:val="5"/>
        <w:spacing w:line="600" w:lineRule="exact"/>
        <w:ind w:right="257" w:firstLine="636" w:firstLineChars="200"/>
        <w:jc w:val="both"/>
        <w:rPr>
          <w:spacing w:val="-3"/>
          <w:lang w:eastAsia="zh-CN"/>
        </w:rPr>
      </w:pPr>
      <w:r>
        <w:rPr>
          <w:rFonts w:hint="eastAsia"/>
          <w:spacing w:val="-1"/>
          <w:lang w:eastAsia="zh-CN"/>
        </w:rPr>
        <w:t>本项目经海南省商务厅提出《</w:t>
      </w:r>
      <w:r>
        <w:rPr>
          <w:spacing w:val="-1"/>
          <w:lang w:eastAsia="zh-CN"/>
        </w:rPr>
        <w:t>2023年海南省促进消费若干措施》意见，</w:t>
      </w:r>
      <w:r>
        <w:rPr>
          <w:rFonts w:hint="eastAsia"/>
          <w:spacing w:val="-3"/>
          <w:lang w:eastAsia="zh-CN"/>
        </w:rPr>
        <w:t>经</w:t>
      </w:r>
      <w:r>
        <w:rPr>
          <w:spacing w:val="-3"/>
          <w:lang w:eastAsia="zh-CN"/>
        </w:rPr>
        <w:t>海南省</w:t>
      </w:r>
      <w:r>
        <w:rPr>
          <w:rFonts w:hint="eastAsia"/>
          <w:spacing w:val="-3"/>
          <w:lang w:eastAsia="zh-CN"/>
        </w:rPr>
        <w:t>政府批准同意。项目按照规定的程序申请设立，审批文件、材料符合要求。</w:t>
      </w:r>
    </w:p>
    <w:p>
      <w:pPr>
        <w:pStyle w:val="5"/>
        <w:spacing w:line="600" w:lineRule="exact"/>
        <w:ind w:right="257" w:firstLine="636" w:firstLineChars="200"/>
        <w:jc w:val="both"/>
        <w:rPr>
          <w:color w:val="FF0000"/>
          <w:spacing w:val="-1"/>
          <w:lang w:eastAsia="zh-CN"/>
        </w:rPr>
      </w:pPr>
      <w:r>
        <w:rPr>
          <w:rFonts w:hint="eastAsia"/>
          <w:spacing w:val="-1"/>
          <w:lang w:eastAsia="zh-CN"/>
        </w:rPr>
        <w:t>该指标标准得分3分，实际得分3分，得分率</w:t>
      </w:r>
      <w:r>
        <w:rPr>
          <w:spacing w:val="-1"/>
          <w:lang w:eastAsia="zh-CN"/>
        </w:rPr>
        <w:t>100%</w:t>
      </w:r>
      <w:r>
        <w:rPr>
          <w:rFonts w:hint="eastAsia"/>
          <w:spacing w:val="-1"/>
          <w:lang w:eastAsia="zh-CN"/>
        </w:rPr>
        <w:t>。</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2.绩效目标</w:t>
      </w:r>
    </w:p>
    <w:p>
      <w:pPr>
        <w:pStyle w:val="24"/>
        <w:tabs>
          <w:tab w:val="left" w:pos="1661"/>
        </w:tabs>
        <w:spacing w:line="600" w:lineRule="exact"/>
        <w:ind w:left="0" w:firstLine="640" w:firstLineChars="200"/>
        <w:rPr>
          <w:lang w:eastAsia="zh-CN"/>
        </w:rPr>
      </w:pPr>
      <w:r>
        <w:rPr>
          <w:rFonts w:hint="eastAsia"/>
          <w:lang w:eastAsia="zh-CN"/>
        </w:rPr>
        <w:t>（1）</w:t>
      </w:r>
      <w:r>
        <w:rPr>
          <w:lang w:eastAsia="zh-CN"/>
        </w:rPr>
        <w:t>绩效目标合理性方面</w:t>
      </w:r>
    </w:p>
    <w:p>
      <w:pPr>
        <w:pStyle w:val="5"/>
        <w:spacing w:line="600" w:lineRule="exact"/>
        <w:ind w:right="257" w:firstLine="636" w:firstLineChars="200"/>
        <w:jc w:val="both"/>
        <w:rPr>
          <w:rFonts w:hint="eastAsia"/>
          <w:spacing w:val="-1"/>
          <w:lang w:eastAsia="zh-CN"/>
        </w:rPr>
      </w:pPr>
      <w:r>
        <w:rPr>
          <w:spacing w:val="-1"/>
          <w:lang w:eastAsia="zh-CN"/>
        </w:rPr>
        <w:t>本</w:t>
      </w:r>
      <w:r>
        <w:rPr>
          <w:rFonts w:hint="eastAsia"/>
          <w:spacing w:val="-1"/>
          <w:lang w:eastAsia="zh-CN"/>
        </w:rPr>
        <w:t>项目</w:t>
      </w:r>
      <w:r>
        <w:rPr>
          <w:lang w:eastAsia="zh-CN"/>
        </w:rPr>
        <w:t>以“</w:t>
      </w:r>
      <w:r>
        <w:rPr>
          <w:rFonts w:hint="eastAsia"/>
          <w:spacing w:val="-1"/>
          <w:lang w:eastAsia="zh-CN"/>
        </w:rPr>
        <w:t>严格执行相关政策，保障促消费资金足额发放，预算编制科学合理，减少结余资金”作为绩效目标。绩效目标与部门职责、实际工作内容具有相关性，但绩效目标设定的经济效益和效果指标不完整。</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该指标标准得分4分，实际得分2分，得分率50</w:t>
      </w:r>
      <w:r>
        <w:rPr>
          <w:spacing w:val="-1"/>
          <w:lang w:eastAsia="zh-CN"/>
        </w:rPr>
        <w:t>%</w:t>
      </w:r>
      <w:r>
        <w:rPr>
          <w:rFonts w:hint="eastAsia"/>
          <w:spacing w:val="-1"/>
          <w:lang w:eastAsia="zh-CN"/>
        </w:rPr>
        <w:t>。</w:t>
      </w:r>
    </w:p>
    <w:p>
      <w:pPr>
        <w:pStyle w:val="24"/>
        <w:tabs>
          <w:tab w:val="left" w:pos="1661"/>
        </w:tabs>
        <w:spacing w:line="600" w:lineRule="exact"/>
        <w:ind w:left="0" w:firstLine="640" w:firstLineChars="200"/>
        <w:rPr>
          <w:lang w:eastAsia="zh-CN"/>
        </w:rPr>
      </w:pPr>
      <w:r>
        <w:rPr>
          <w:rFonts w:hint="eastAsia"/>
          <w:lang w:eastAsia="zh-CN"/>
        </w:rPr>
        <w:t>（2）</w:t>
      </w:r>
      <w:r>
        <w:rPr>
          <w:lang w:eastAsia="zh-CN"/>
        </w:rPr>
        <w:t>绩效指标明确性方面</w:t>
      </w:r>
    </w:p>
    <w:p>
      <w:pPr>
        <w:pStyle w:val="5"/>
        <w:spacing w:line="600" w:lineRule="exact"/>
        <w:ind w:right="257" w:firstLine="636" w:firstLineChars="200"/>
        <w:jc w:val="both"/>
        <w:rPr>
          <w:spacing w:val="-1"/>
          <w:lang w:eastAsia="zh-CN"/>
        </w:rPr>
      </w:pPr>
      <w:r>
        <w:rPr>
          <w:spacing w:val="-1"/>
          <w:lang w:eastAsia="zh-CN"/>
        </w:rPr>
        <w:t>海南省商务厅将本项目绩效目标从产出、效益</w:t>
      </w:r>
      <w:r>
        <w:rPr>
          <w:rFonts w:hint="eastAsia"/>
          <w:spacing w:val="-1"/>
          <w:lang w:eastAsia="zh-CN"/>
        </w:rPr>
        <w:t>二</w:t>
      </w:r>
      <w:r>
        <w:rPr>
          <w:spacing w:val="-1"/>
          <w:lang w:eastAsia="zh-CN"/>
        </w:rPr>
        <w:t>个方面，细化分解为</w:t>
      </w:r>
      <w:r>
        <w:rPr>
          <w:rFonts w:hint="eastAsia"/>
          <w:spacing w:val="-1"/>
          <w:lang w:eastAsia="zh-CN"/>
        </w:rPr>
        <w:t>三</w:t>
      </w:r>
      <w:r>
        <w:rPr>
          <w:spacing w:val="-1"/>
          <w:lang w:eastAsia="zh-CN"/>
        </w:rPr>
        <w:t>个绩效指标，绩效指标清晰、可衡量并与项目目标任务数相对应。但还存在</w:t>
      </w:r>
      <w:r>
        <w:rPr>
          <w:rFonts w:hint="eastAsia"/>
          <w:spacing w:val="-1"/>
          <w:lang w:eastAsia="zh-CN"/>
        </w:rPr>
        <w:t>绩效指标设置太少、</w:t>
      </w:r>
      <w:r>
        <w:rPr>
          <w:spacing w:val="-1"/>
          <w:lang w:eastAsia="zh-CN"/>
        </w:rPr>
        <w:t>没有设置满意度指标的情况</w:t>
      </w:r>
      <w:r>
        <w:rPr>
          <w:rFonts w:hint="eastAsia"/>
          <w:spacing w:val="-1"/>
          <w:lang w:eastAsia="zh-CN"/>
        </w:rPr>
        <w:t>。</w:t>
      </w:r>
    </w:p>
    <w:p>
      <w:pPr>
        <w:pStyle w:val="5"/>
        <w:spacing w:line="600" w:lineRule="exact"/>
        <w:ind w:right="257" w:firstLine="636" w:firstLineChars="200"/>
        <w:jc w:val="both"/>
        <w:rPr>
          <w:spacing w:val="-1"/>
          <w:lang w:eastAsia="zh-CN"/>
        </w:rPr>
      </w:pPr>
      <w:r>
        <w:rPr>
          <w:rFonts w:hint="eastAsia"/>
          <w:spacing w:val="-1"/>
          <w:lang w:eastAsia="zh-CN"/>
        </w:rPr>
        <w:t>该指标标准得分3分，实际得分1.5分，得分率50</w:t>
      </w:r>
      <w:r>
        <w:rPr>
          <w:spacing w:val="-1"/>
          <w:lang w:eastAsia="zh-CN"/>
        </w:rPr>
        <w:t>%</w:t>
      </w:r>
      <w:r>
        <w:rPr>
          <w:rFonts w:hint="eastAsia"/>
          <w:spacing w:val="-1"/>
          <w:lang w:eastAsia="zh-CN"/>
        </w:rPr>
        <w:t>。</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3.资金投入</w:t>
      </w:r>
    </w:p>
    <w:p>
      <w:pPr>
        <w:pStyle w:val="24"/>
        <w:tabs>
          <w:tab w:val="left" w:pos="1661"/>
        </w:tabs>
        <w:spacing w:line="600" w:lineRule="exact"/>
        <w:ind w:left="0" w:firstLine="640" w:firstLineChars="200"/>
        <w:rPr>
          <w:lang w:eastAsia="zh-CN"/>
        </w:rPr>
      </w:pPr>
      <w:r>
        <w:rPr>
          <w:rFonts w:hint="eastAsia"/>
          <w:lang w:eastAsia="zh-CN"/>
        </w:rPr>
        <w:t>（1）</w:t>
      </w:r>
      <w:r>
        <w:rPr>
          <w:lang w:eastAsia="zh-CN"/>
        </w:rPr>
        <w:t>预算编制科学性方面</w:t>
      </w:r>
    </w:p>
    <w:p>
      <w:pPr>
        <w:pStyle w:val="5"/>
        <w:spacing w:line="600" w:lineRule="exact"/>
        <w:ind w:right="257" w:firstLine="636" w:firstLineChars="200"/>
        <w:jc w:val="both"/>
        <w:rPr>
          <w:spacing w:val="-3"/>
          <w:lang w:eastAsia="zh-CN"/>
        </w:rPr>
      </w:pPr>
      <w:r>
        <w:rPr>
          <w:spacing w:val="-1"/>
          <w:lang w:eastAsia="zh-CN"/>
        </w:rPr>
        <w:t>海南省商务厅《</w:t>
      </w:r>
      <w:r>
        <w:rPr>
          <w:rFonts w:hint="eastAsia"/>
          <w:spacing w:val="-1"/>
          <w:lang w:eastAsia="zh-CN"/>
        </w:rPr>
        <w:t>2023年我省促消费若干措施“消费券资金”安排方案</w:t>
      </w:r>
      <w:r>
        <w:rPr>
          <w:spacing w:val="-1"/>
          <w:lang w:eastAsia="zh-CN"/>
        </w:rPr>
        <w:t>》、《2023 年海南省政府离岛免税消费券发放规则》明确了项目消费券发放面额和发放数量，消费券共分四档，其中：满</w:t>
      </w:r>
      <w:r>
        <w:rPr>
          <w:rFonts w:hint="eastAsia"/>
          <w:spacing w:val="-1"/>
          <w:lang w:eastAsia="zh-CN"/>
        </w:rPr>
        <w:t>800元减50元（100,000份）、满2,000元减100元（60,000份）、满3,000元减200元（45,000份），满6,000元减500元（20,000份），每人每档限领一张，预算确定的项目投资额与工作任务相匹配，预算编制科学、合理</w:t>
      </w:r>
      <w:r>
        <w:rPr>
          <w:spacing w:val="-3"/>
          <w:lang w:eastAsia="zh-CN"/>
        </w:rPr>
        <w:t>。</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该指标标准得分4分，实际得分4分，得分率100</w:t>
      </w:r>
      <w:r>
        <w:rPr>
          <w:spacing w:val="-1"/>
          <w:lang w:eastAsia="zh-CN"/>
        </w:rPr>
        <w:t>%</w:t>
      </w:r>
      <w:r>
        <w:rPr>
          <w:rFonts w:hint="eastAsia"/>
          <w:spacing w:val="-1"/>
          <w:lang w:eastAsia="zh-CN"/>
        </w:rPr>
        <w:t>。</w:t>
      </w:r>
    </w:p>
    <w:p>
      <w:pPr>
        <w:pStyle w:val="24"/>
        <w:tabs>
          <w:tab w:val="left" w:pos="1661"/>
        </w:tabs>
        <w:spacing w:line="600" w:lineRule="exact"/>
        <w:ind w:left="0" w:firstLine="640" w:firstLineChars="200"/>
        <w:rPr>
          <w:lang w:eastAsia="zh-CN"/>
        </w:rPr>
      </w:pPr>
      <w:r>
        <w:rPr>
          <w:rFonts w:hint="eastAsia"/>
          <w:lang w:eastAsia="zh-CN"/>
        </w:rPr>
        <w:t>（2）</w:t>
      </w:r>
      <w:r>
        <w:rPr>
          <w:lang w:eastAsia="zh-CN"/>
        </w:rPr>
        <w:t>资金分配合理性方面</w:t>
      </w:r>
    </w:p>
    <w:p>
      <w:pPr>
        <w:pStyle w:val="5"/>
        <w:spacing w:line="600" w:lineRule="exact"/>
        <w:ind w:right="257" w:firstLine="636" w:firstLineChars="200"/>
        <w:jc w:val="both"/>
        <w:rPr>
          <w:spacing w:val="-1"/>
          <w:lang w:eastAsia="zh-CN"/>
        </w:rPr>
      </w:pPr>
      <w:r>
        <w:rPr>
          <w:spacing w:val="-1"/>
          <w:lang w:eastAsia="zh-CN"/>
        </w:rPr>
        <w:t>海南省商务厅《</w:t>
      </w:r>
      <w:r>
        <w:rPr>
          <w:rFonts w:hint="eastAsia"/>
          <w:spacing w:val="-1"/>
          <w:lang w:eastAsia="zh-CN"/>
        </w:rPr>
        <w:t>2023年我省促消费若干措施“消费券资金”安排方案</w:t>
      </w:r>
      <w:r>
        <w:rPr>
          <w:spacing w:val="-1"/>
          <w:lang w:eastAsia="zh-CN"/>
        </w:rPr>
        <w:t>》明确了项目</w:t>
      </w:r>
      <w:r>
        <w:rPr>
          <w:rFonts w:hint="eastAsia"/>
          <w:spacing w:val="-1"/>
          <w:lang w:eastAsia="zh-CN"/>
        </w:rPr>
        <w:t>资金</w:t>
      </w:r>
      <w:r>
        <w:rPr>
          <w:spacing w:val="-1"/>
          <w:lang w:eastAsia="zh-CN"/>
        </w:rPr>
        <w:t>发放计划</w:t>
      </w:r>
      <w:r>
        <w:rPr>
          <w:rFonts w:hint="eastAsia"/>
          <w:spacing w:val="-1"/>
          <w:lang w:eastAsia="zh-CN"/>
        </w:rPr>
        <w:t>，本项目资金共3,000万元，分二批发放，第一批1,000万元消费券于2023年端午节期间发放、第二批2,000万元消费券在暑期重要活动及国庆黄金周等重要时间节点发放，</w:t>
      </w:r>
      <w:r>
        <w:rPr>
          <w:spacing w:val="-1"/>
          <w:lang w:eastAsia="zh-CN"/>
        </w:rPr>
        <w:t>海南省商务厅严格按照发放计划，专款专用，资金分配额度合理，与项目</w:t>
      </w:r>
      <w:r>
        <w:rPr>
          <w:rFonts w:hint="eastAsia"/>
          <w:spacing w:val="-1"/>
          <w:lang w:eastAsia="zh-CN"/>
        </w:rPr>
        <w:t>实际情况相适应。</w:t>
      </w:r>
    </w:p>
    <w:p>
      <w:pPr>
        <w:pStyle w:val="5"/>
        <w:spacing w:line="600" w:lineRule="exact"/>
        <w:ind w:right="257" w:firstLine="636" w:firstLineChars="200"/>
        <w:jc w:val="both"/>
        <w:rPr>
          <w:spacing w:val="-1"/>
          <w:lang w:eastAsia="zh-CN"/>
        </w:rPr>
      </w:pPr>
      <w:r>
        <w:rPr>
          <w:rFonts w:hint="eastAsia"/>
          <w:spacing w:val="-1"/>
          <w:lang w:eastAsia="zh-CN"/>
        </w:rPr>
        <w:t>该指标标准得分2分，实际得分2分，得分率100</w:t>
      </w:r>
      <w:r>
        <w:rPr>
          <w:spacing w:val="-1"/>
          <w:lang w:eastAsia="zh-CN"/>
        </w:rPr>
        <w:t>%</w:t>
      </w:r>
      <w:r>
        <w:rPr>
          <w:rFonts w:hint="eastAsia"/>
          <w:spacing w:val="-1"/>
          <w:lang w:eastAsia="zh-CN"/>
        </w:rPr>
        <w:t>。</w:t>
      </w:r>
    </w:p>
    <w:p>
      <w:pPr>
        <w:pStyle w:val="3"/>
        <w:spacing w:before="0" w:after="0" w:line="600" w:lineRule="exact"/>
        <w:ind w:firstLine="640" w:firstLineChars="200"/>
        <w:rPr>
          <w:rFonts w:ascii="楷体" w:hAnsi="楷体" w:eastAsia="楷体" w:cs="楷体"/>
          <w:b w:val="0"/>
          <w:bCs w:val="0"/>
          <w:lang w:eastAsia="zh-CN"/>
        </w:rPr>
      </w:pPr>
      <w:bookmarkStart w:id="46" w:name="_bookmark17"/>
      <w:bookmarkEnd w:id="46"/>
      <w:bookmarkStart w:id="47" w:name="_Toc167789387"/>
      <w:r>
        <w:rPr>
          <w:rFonts w:hint="eastAsia" w:ascii="楷体" w:hAnsi="楷体" w:eastAsia="楷体" w:cs="楷体"/>
          <w:b w:val="0"/>
          <w:bCs w:val="0"/>
          <w:lang w:eastAsia="zh-CN"/>
        </w:rPr>
        <w:t>(二)项目过程情况</w:t>
      </w:r>
      <w:bookmarkEnd w:id="47"/>
    </w:p>
    <w:p>
      <w:pPr>
        <w:pStyle w:val="5"/>
        <w:spacing w:line="600" w:lineRule="exact"/>
        <w:ind w:right="257" w:firstLine="636" w:firstLineChars="200"/>
        <w:jc w:val="both"/>
        <w:rPr>
          <w:spacing w:val="-1"/>
          <w:lang w:eastAsia="zh-CN"/>
        </w:rPr>
      </w:pPr>
      <w:r>
        <w:rPr>
          <w:spacing w:val="-1"/>
          <w:lang w:eastAsia="zh-CN"/>
        </w:rPr>
        <w:t>评价小组从资金管理和组织实施两个方面考核本项目过程管理情况，满分为 20 分，得19.43分，得分率为97.15%， 资金使用合法合规，但</w:t>
      </w:r>
      <w:r>
        <w:rPr>
          <w:rFonts w:hint="eastAsia"/>
          <w:spacing w:val="-1"/>
          <w:lang w:eastAsia="zh-CN"/>
        </w:rPr>
        <w:t>管理制度不够健全</w:t>
      </w:r>
      <w:r>
        <w:rPr>
          <w:spacing w:val="-1"/>
          <w:lang w:eastAsia="zh-CN"/>
        </w:rPr>
        <w:t>。</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1.资金管理</w:t>
      </w:r>
    </w:p>
    <w:p>
      <w:pPr>
        <w:pStyle w:val="24"/>
        <w:tabs>
          <w:tab w:val="left" w:pos="1661"/>
        </w:tabs>
        <w:spacing w:line="600" w:lineRule="exact"/>
        <w:ind w:left="0" w:firstLine="640" w:firstLineChars="200"/>
        <w:rPr>
          <w:lang w:eastAsia="zh-CN"/>
        </w:rPr>
      </w:pPr>
      <w:r>
        <w:rPr>
          <w:rFonts w:hint="eastAsia"/>
          <w:lang w:eastAsia="zh-CN"/>
        </w:rPr>
        <w:t>（1）</w:t>
      </w:r>
      <w:r>
        <w:rPr>
          <w:lang w:eastAsia="zh-CN"/>
        </w:rPr>
        <w:t>资金到位率方面</w:t>
      </w:r>
    </w:p>
    <w:p>
      <w:pPr>
        <w:pStyle w:val="5"/>
        <w:spacing w:line="600" w:lineRule="exact"/>
        <w:ind w:right="257" w:firstLine="636" w:firstLineChars="200"/>
        <w:jc w:val="both"/>
        <w:rPr>
          <w:spacing w:val="-1"/>
          <w:lang w:eastAsia="zh-CN"/>
        </w:rPr>
      </w:pPr>
      <w:r>
        <w:rPr>
          <w:spacing w:val="-1"/>
          <w:lang w:eastAsia="zh-CN"/>
        </w:rPr>
        <w:t>本项目全年预算金额为3,000.00万元，实际到位资金3,000.00万元，</w:t>
      </w:r>
      <w:r>
        <w:rPr>
          <w:rFonts w:hint="eastAsia"/>
          <w:spacing w:val="-1"/>
          <w:lang w:eastAsia="zh-CN"/>
        </w:rPr>
        <w:t>资金到位率</w:t>
      </w:r>
      <w:r>
        <w:rPr>
          <w:spacing w:val="-1"/>
          <w:lang w:eastAsia="zh-CN"/>
        </w:rPr>
        <w:t>=（实际到位资金/预算资金）×100%</w:t>
      </w:r>
      <w:r>
        <w:rPr>
          <w:rFonts w:hint="eastAsia"/>
          <w:spacing w:val="-1"/>
          <w:lang w:eastAsia="zh-CN"/>
        </w:rPr>
        <w:t>=</w:t>
      </w:r>
      <w:r>
        <w:rPr>
          <w:spacing w:val="-1"/>
          <w:lang w:eastAsia="zh-CN"/>
        </w:rPr>
        <w:t>（3,000.00万元/3,000.00万元）×100%</w:t>
      </w:r>
      <w:r>
        <w:rPr>
          <w:rFonts w:hint="eastAsia"/>
          <w:spacing w:val="-1"/>
          <w:lang w:eastAsia="zh-CN"/>
        </w:rPr>
        <w:t>= 100</w:t>
      </w:r>
      <w:r>
        <w:rPr>
          <w:spacing w:val="-1"/>
          <w:lang w:eastAsia="zh-CN"/>
        </w:rPr>
        <w:t>%。</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该指标标准得分4分，实际得分4分，得分率100</w:t>
      </w:r>
      <w:r>
        <w:rPr>
          <w:spacing w:val="-1"/>
          <w:lang w:eastAsia="zh-CN"/>
        </w:rPr>
        <w:t>%</w:t>
      </w:r>
      <w:r>
        <w:rPr>
          <w:rFonts w:hint="eastAsia"/>
          <w:spacing w:val="-1"/>
          <w:lang w:eastAsia="zh-CN"/>
        </w:rPr>
        <w:t>。</w:t>
      </w:r>
    </w:p>
    <w:p>
      <w:pPr>
        <w:pStyle w:val="24"/>
        <w:tabs>
          <w:tab w:val="left" w:pos="1661"/>
        </w:tabs>
        <w:spacing w:line="600" w:lineRule="exact"/>
        <w:ind w:left="0" w:firstLine="640" w:firstLineChars="200"/>
        <w:rPr>
          <w:lang w:eastAsia="zh-CN"/>
        </w:rPr>
      </w:pPr>
      <w:r>
        <w:rPr>
          <w:rFonts w:hint="eastAsia"/>
          <w:lang w:eastAsia="zh-CN"/>
        </w:rPr>
        <w:t>（2）</w:t>
      </w:r>
      <w:r>
        <w:rPr>
          <w:lang w:eastAsia="zh-CN"/>
        </w:rPr>
        <w:t>预算执行率方面</w:t>
      </w:r>
    </w:p>
    <w:p>
      <w:pPr>
        <w:pStyle w:val="5"/>
        <w:spacing w:line="600" w:lineRule="exact"/>
        <w:ind w:right="257" w:firstLine="636" w:firstLineChars="200"/>
        <w:jc w:val="both"/>
        <w:rPr>
          <w:spacing w:val="-1"/>
          <w:lang w:eastAsia="zh-CN"/>
        </w:rPr>
      </w:pPr>
      <w:r>
        <w:rPr>
          <w:spacing w:val="-1"/>
          <w:lang w:eastAsia="zh-CN"/>
        </w:rPr>
        <w:t>本项目全年</w:t>
      </w:r>
      <w:r>
        <w:rPr>
          <w:rFonts w:hint="eastAsia"/>
          <w:spacing w:val="-1"/>
          <w:lang w:eastAsia="zh-CN"/>
        </w:rPr>
        <w:t>实际到位资金</w:t>
      </w:r>
      <w:r>
        <w:rPr>
          <w:spacing w:val="-1"/>
          <w:lang w:eastAsia="zh-CN"/>
        </w:rPr>
        <w:t>为3,000.00万元，</w:t>
      </w:r>
      <w:r>
        <w:rPr>
          <w:rFonts w:hint="eastAsia"/>
          <w:spacing w:val="-1"/>
          <w:lang w:eastAsia="zh-CN"/>
        </w:rPr>
        <w:t>实际支出资金</w:t>
      </w:r>
      <w:r>
        <w:rPr>
          <w:spacing w:val="-1"/>
          <w:lang w:eastAsia="zh-CN"/>
        </w:rPr>
        <w:t>为2,949.73万元，预算执行率</w:t>
      </w:r>
      <w:r>
        <w:rPr>
          <w:rFonts w:hint="eastAsia"/>
          <w:spacing w:val="-1"/>
          <w:lang w:eastAsia="zh-CN"/>
        </w:rPr>
        <w:t>=（实际支出资金</w:t>
      </w:r>
      <w:r>
        <w:rPr>
          <w:spacing w:val="-1"/>
          <w:lang w:eastAsia="zh-CN"/>
        </w:rPr>
        <w:t>/实际到位资金）×100%</w:t>
      </w:r>
      <w:r>
        <w:rPr>
          <w:rFonts w:hint="eastAsia"/>
          <w:spacing w:val="-1"/>
          <w:lang w:eastAsia="zh-CN"/>
        </w:rPr>
        <w:t>=</w:t>
      </w:r>
      <w:r>
        <w:rPr>
          <w:spacing w:val="-1"/>
          <w:lang w:eastAsia="zh-CN"/>
        </w:rPr>
        <w:t>（2,949.73万元/3,000.00万元）×100%</w:t>
      </w:r>
      <w:r>
        <w:rPr>
          <w:rFonts w:hint="eastAsia"/>
          <w:spacing w:val="-1"/>
          <w:lang w:eastAsia="zh-CN"/>
        </w:rPr>
        <w:t>=98.32%</w:t>
      </w:r>
      <w:r>
        <w:rPr>
          <w:spacing w:val="-1"/>
          <w:lang w:eastAsia="zh-CN"/>
        </w:rPr>
        <w:t>，</w:t>
      </w:r>
      <w:r>
        <w:rPr>
          <w:rFonts w:hint="eastAsia"/>
          <w:spacing w:val="-1"/>
          <w:lang w:eastAsia="zh-CN"/>
        </w:rPr>
        <w:t>预算执行情况较好。</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该指标标准得分4分，实际得分=4分</w:t>
      </w:r>
      <w:r>
        <w:rPr>
          <w:spacing w:val="-1"/>
          <w:lang w:eastAsia="zh-CN"/>
        </w:rPr>
        <w:t>×</w:t>
      </w:r>
      <w:r>
        <w:rPr>
          <w:rFonts w:hint="eastAsia"/>
          <w:spacing w:val="-1"/>
          <w:lang w:eastAsia="zh-CN"/>
        </w:rPr>
        <w:t>98.32%=</w:t>
      </w:r>
      <w:r>
        <w:rPr>
          <w:spacing w:val="-1"/>
          <w:lang w:eastAsia="zh-CN"/>
        </w:rPr>
        <w:t>3.93</w:t>
      </w:r>
      <w:r>
        <w:rPr>
          <w:rFonts w:hint="eastAsia"/>
          <w:spacing w:val="-1"/>
          <w:lang w:eastAsia="zh-CN"/>
        </w:rPr>
        <w:t>分，得分率98.25%。</w:t>
      </w:r>
    </w:p>
    <w:p>
      <w:pPr>
        <w:pStyle w:val="24"/>
        <w:tabs>
          <w:tab w:val="left" w:pos="1661"/>
        </w:tabs>
        <w:spacing w:line="600" w:lineRule="exact"/>
        <w:ind w:left="0" w:firstLine="640" w:firstLineChars="200"/>
        <w:rPr>
          <w:lang w:eastAsia="zh-CN"/>
        </w:rPr>
      </w:pPr>
      <w:r>
        <w:rPr>
          <w:rFonts w:hint="eastAsia"/>
          <w:lang w:eastAsia="zh-CN"/>
        </w:rPr>
        <w:t>（3）</w:t>
      </w:r>
      <w:r>
        <w:rPr>
          <w:lang w:eastAsia="zh-CN"/>
        </w:rPr>
        <w:t>资金使用合规性方面</w:t>
      </w:r>
    </w:p>
    <w:p>
      <w:pPr>
        <w:pStyle w:val="5"/>
        <w:spacing w:line="600" w:lineRule="exact"/>
        <w:ind w:right="257" w:firstLine="636" w:firstLineChars="200"/>
        <w:jc w:val="both"/>
        <w:rPr>
          <w:spacing w:val="-1"/>
          <w:lang w:eastAsia="zh-CN"/>
        </w:rPr>
      </w:pPr>
      <w:r>
        <w:rPr>
          <w:spacing w:val="-1"/>
          <w:lang w:eastAsia="zh-CN"/>
        </w:rPr>
        <w:t>海南省商务厅本项目资金支出严格按照</w:t>
      </w:r>
      <w:r>
        <w:rPr>
          <w:rFonts w:hint="eastAsia"/>
          <w:spacing w:val="-1"/>
          <w:lang w:eastAsia="zh-CN"/>
        </w:rPr>
        <w:t>《海南省省本级项目支出预算管理办法》和《海南省商务厅制度汇编（财务管理）》、《经费预算审签流程图》等</w:t>
      </w:r>
      <w:r>
        <w:rPr>
          <w:spacing w:val="-1"/>
          <w:lang w:eastAsia="zh-CN"/>
        </w:rPr>
        <w:t>管理制度等执行，资金的拨付有完整的审批程序和手续，符合项目预算</w:t>
      </w:r>
      <w:r>
        <w:rPr>
          <w:rFonts w:hint="eastAsia"/>
          <w:spacing w:val="-1"/>
          <w:lang w:eastAsia="zh-CN"/>
        </w:rPr>
        <w:t>和</w:t>
      </w:r>
      <w:r>
        <w:rPr>
          <w:spacing w:val="-1"/>
          <w:lang w:eastAsia="zh-CN"/>
        </w:rPr>
        <w:t>合同规定的用途，不存在截留、挤占、挪用、虚列支出等情况。</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该指标标准得分4分，实际得分4分，得分率100</w:t>
      </w:r>
      <w:r>
        <w:rPr>
          <w:spacing w:val="-1"/>
          <w:lang w:eastAsia="zh-CN"/>
        </w:rPr>
        <w:t>%</w:t>
      </w:r>
      <w:r>
        <w:rPr>
          <w:rFonts w:hint="eastAsia"/>
          <w:spacing w:val="-1"/>
          <w:lang w:eastAsia="zh-CN"/>
        </w:rPr>
        <w:t>。</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2.组织实施</w:t>
      </w:r>
    </w:p>
    <w:p>
      <w:pPr>
        <w:pStyle w:val="24"/>
        <w:tabs>
          <w:tab w:val="left" w:pos="1661"/>
        </w:tabs>
        <w:spacing w:line="600" w:lineRule="exact"/>
        <w:ind w:left="0" w:firstLine="640" w:firstLineChars="200"/>
        <w:rPr>
          <w:lang w:eastAsia="zh-CN"/>
        </w:rPr>
      </w:pPr>
      <w:r>
        <w:rPr>
          <w:rFonts w:hint="eastAsia"/>
          <w:lang w:eastAsia="zh-CN"/>
        </w:rPr>
        <w:t>（1）</w:t>
      </w:r>
      <w:r>
        <w:rPr>
          <w:lang w:eastAsia="zh-CN"/>
        </w:rPr>
        <w:t>管理制度健全性方面</w:t>
      </w:r>
    </w:p>
    <w:p>
      <w:pPr>
        <w:pStyle w:val="5"/>
        <w:spacing w:line="600" w:lineRule="exact"/>
        <w:ind w:right="257" w:firstLine="636" w:firstLineChars="200"/>
        <w:jc w:val="both"/>
        <w:rPr>
          <w:spacing w:val="-1"/>
          <w:lang w:eastAsia="zh-CN"/>
        </w:rPr>
      </w:pPr>
      <w:r>
        <w:rPr>
          <w:rFonts w:hint="eastAsia"/>
          <w:spacing w:val="-1"/>
          <w:lang w:eastAsia="zh-CN"/>
        </w:rPr>
        <w:t>海南省商务厅制定《海南省商务厅制度汇编（财务管理）》、《海南省商务厅制度汇编（合同管理）》、《海南省商务厅制度汇编（商务厅业务）》、《经费预算审签流程图（工作启动阶段）》、《经费预算审签流程图（工作调整、推动阶段）》、《采购及合同签订流程图（完成经费签批前提）》、《报销流程图》等财务及业务管理制度，各项制度合法、合规。海南省商务厅制定了</w:t>
      </w:r>
      <w:r>
        <w:rPr>
          <w:spacing w:val="-1"/>
          <w:lang w:eastAsia="zh-CN"/>
        </w:rPr>
        <w:t>《</w:t>
      </w:r>
      <w:r>
        <w:rPr>
          <w:rFonts w:hint="eastAsia"/>
          <w:spacing w:val="-1"/>
          <w:lang w:eastAsia="zh-CN"/>
        </w:rPr>
        <w:t>2023年我省促消费若干措施“消费券资金”安排方案</w:t>
      </w:r>
      <w:r>
        <w:rPr>
          <w:spacing w:val="-1"/>
          <w:lang w:eastAsia="zh-CN"/>
        </w:rPr>
        <w:t>》和《2023 年海南省政府离岛免税消费券发放规则》，对项目实施规则和资金拨付进行了详细安排，</w:t>
      </w:r>
      <w:r>
        <w:rPr>
          <w:rFonts w:hint="eastAsia"/>
          <w:spacing w:val="-1"/>
          <w:lang w:eastAsia="zh-CN"/>
        </w:rPr>
        <w:t>但未就消费券发放活动设立相应的专项业务管理制度，在项目决策程序、发放过程监督管理、资料归档、结项、验收和退款流程等方面缺少专门的制度规定。</w:t>
      </w:r>
    </w:p>
    <w:p>
      <w:pPr>
        <w:pStyle w:val="5"/>
        <w:spacing w:line="600" w:lineRule="exact"/>
        <w:ind w:right="257" w:firstLine="636" w:firstLineChars="200"/>
        <w:jc w:val="both"/>
        <w:rPr>
          <w:spacing w:val="-1"/>
          <w:lang w:eastAsia="zh-CN"/>
        </w:rPr>
      </w:pPr>
      <w:r>
        <w:rPr>
          <w:rFonts w:hint="eastAsia"/>
          <w:spacing w:val="-1"/>
          <w:lang w:eastAsia="zh-CN"/>
        </w:rPr>
        <w:t>该指标标准得分2分，实际得分1.5分，得分率</w:t>
      </w:r>
      <w:r>
        <w:rPr>
          <w:spacing w:val="-1"/>
          <w:lang w:eastAsia="zh-CN"/>
        </w:rPr>
        <w:t>75.00%</w:t>
      </w:r>
      <w:r>
        <w:rPr>
          <w:rFonts w:hint="eastAsia"/>
          <w:spacing w:val="-1"/>
          <w:lang w:eastAsia="zh-CN"/>
        </w:rPr>
        <w:t>。</w:t>
      </w:r>
    </w:p>
    <w:p>
      <w:pPr>
        <w:pStyle w:val="24"/>
        <w:tabs>
          <w:tab w:val="left" w:pos="1661"/>
        </w:tabs>
        <w:spacing w:line="600" w:lineRule="exact"/>
        <w:ind w:left="0" w:firstLine="640" w:firstLineChars="200"/>
        <w:rPr>
          <w:lang w:eastAsia="zh-CN"/>
        </w:rPr>
      </w:pPr>
      <w:r>
        <w:rPr>
          <w:rFonts w:hint="eastAsia"/>
          <w:lang w:eastAsia="zh-CN"/>
        </w:rPr>
        <w:t>（2）</w:t>
      </w:r>
      <w:r>
        <w:rPr>
          <w:lang w:eastAsia="zh-CN"/>
        </w:rPr>
        <w:t>制度执行有效性方面</w:t>
      </w:r>
    </w:p>
    <w:p>
      <w:pPr>
        <w:pStyle w:val="5"/>
        <w:spacing w:line="600" w:lineRule="exact"/>
        <w:ind w:right="257" w:firstLine="636" w:firstLineChars="200"/>
        <w:jc w:val="both"/>
        <w:rPr>
          <w:spacing w:val="-1"/>
          <w:lang w:eastAsia="zh-CN"/>
        </w:rPr>
      </w:pPr>
      <w:r>
        <w:rPr>
          <w:spacing w:val="-1"/>
          <w:lang w:eastAsia="zh-CN"/>
        </w:rPr>
        <w:t>海南省商务厅参照厅财务及业务管理制度执行本</w:t>
      </w:r>
      <w:r>
        <w:rPr>
          <w:rFonts w:hint="eastAsia"/>
          <w:spacing w:val="-1"/>
          <w:lang w:eastAsia="zh-CN"/>
        </w:rPr>
        <w:t>项目</w:t>
      </w:r>
      <w:r>
        <w:rPr>
          <w:spacing w:val="-1"/>
          <w:lang w:eastAsia="zh-CN"/>
        </w:rPr>
        <w:t>。</w:t>
      </w:r>
      <w:r>
        <w:rPr>
          <w:rFonts w:hint="eastAsia"/>
          <w:spacing w:val="-1"/>
          <w:lang w:eastAsia="zh-CN"/>
        </w:rPr>
        <w:t>本项目以比选方式确定“银联云闪付”作为本项目合作平台，相关手续规范、完整。</w:t>
      </w:r>
      <w:r>
        <w:rPr>
          <w:spacing w:val="-1"/>
          <w:lang w:eastAsia="zh-CN"/>
        </w:rPr>
        <w:t>海南省商务厅</w:t>
      </w:r>
      <w:r>
        <w:rPr>
          <w:rFonts w:hint="eastAsia"/>
          <w:spacing w:val="-1"/>
          <w:lang w:eastAsia="zh-CN"/>
        </w:rPr>
        <w:t>根据本项目的具体情况，制定《2023年我省促消费若干措施“消费资金”安排方案》，并根据方案安排资金发放，资金发放经海南省商务厅党委会、厅务会审议通过。发放机构向海南省商务厅提供了平台消费券领取、核销数据和</w:t>
      </w:r>
      <w:r>
        <w:rPr>
          <w:spacing w:val="-1"/>
          <w:lang w:eastAsia="zh-CN"/>
        </w:rPr>
        <w:t>免税消费券营销活动情况</w:t>
      </w:r>
      <w:r>
        <w:rPr>
          <w:rFonts w:hint="eastAsia"/>
          <w:spacing w:val="-1"/>
          <w:lang w:eastAsia="zh-CN"/>
        </w:rPr>
        <w:t>。项目合同书、比选材料等资料齐全</w:t>
      </w:r>
      <w:r>
        <w:rPr>
          <w:spacing w:val="-1"/>
          <w:lang w:eastAsia="zh-CN"/>
        </w:rPr>
        <w:t>。</w:t>
      </w:r>
    </w:p>
    <w:p>
      <w:pPr>
        <w:pStyle w:val="5"/>
        <w:spacing w:line="600" w:lineRule="exact"/>
        <w:ind w:right="257" w:firstLine="636" w:firstLineChars="200"/>
        <w:jc w:val="both"/>
        <w:rPr>
          <w:spacing w:val="-1"/>
          <w:lang w:eastAsia="zh-CN"/>
        </w:rPr>
      </w:pPr>
      <w:r>
        <w:rPr>
          <w:rFonts w:hint="eastAsia"/>
          <w:spacing w:val="-1"/>
          <w:lang w:eastAsia="zh-CN"/>
        </w:rPr>
        <w:t>该指标标准得分6分，实际得分6分，得分率100</w:t>
      </w:r>
      <w:r>
        <w:rPr>
          <w:spacing w:val="-1"/>
          <w:lang w:eastAsia="zh-CN"/>
        </w:rPr>
        <w:t>%</w:t>
      </w:r>
      <w:r>
        <w:rPr>
          <w:rFonts w:hint="eastAsia"/>
          <w:spacing w:val="-1"/>
          <w:lang w:eastAsia="zh-CN"/>
        </w:rPr>
        <w:t>。</w:t>
      </w:r>
    </w:p>
    <w:p>
      <w:pPr>
        <w:pStyle w:val="3"/>
        <w:spacing w:before="0" w:after="0" w:line="600" w:lineRule="exact"/>
        <w:ind w:firstLine="640" w:firstLineChars="200"/>
        <w:rPr>
          <w:rFonts w:ascii="楷体" w:hAnsi="楷体" w:eastAsia="楷体" w:cs="楷体"/>
          <w:b w:val="0"/>
          <w:bCs w:val="0"/>
          <w:lang w:eastAsia="zh-CN"/>
        </w:rPr>
      </w:pPr>
      <w:bookmarkStart w:id="48" w:name="_bookmark18"/>
      <w:bookmarkEnd w:id="48"/>
      <w:bookmarkStart w:id="49" w:name="_Toc167789388"/>
      <w:r>
        <w:rPr>
          <w:rFonts w:hint="eastAsia" w:ascii="楷体" w:hAnsi="楷体" w:eastAsia="楷体" w:cs="楷体"/>
          <w:b w:val="0"/>
          <w:bCs w:val="0"/>
          <w:lang w:eastAsia="zh-CN"/>
        </w:rPr>
        <w:t>(三)项目产出情况</w:t>
      </w:r>
      <w:bookmarkEnd w:id="49"/>
    </w:p>
    <w:p>
      <w:pPr>
        <w:pStyle w:val="5"/>
        <w:spacing w:line="600" w:lineRule="exact"/>
        <w:ind w:right="257" w:firstLine="636" w:firstLineChars="200"/>
        <w:jc w:val="both"/>
        <w:rPr>
          <w:spacing w:val="-1"/>
          <w:lang w:eastAsia="zh-CN"/>
        </w:rPr>
      </w:pPr>
      <w:r>
        <w:rPr>
          <w:spacing w:val="-1"/>
          <w:lang w:eastAsia="zh-CN"/>
        </w:rPr>
        <w:t>评价小组从产出数量、产出质量、产出时效</w:t>
      </w:r>
      <w:r>
        <w:rPr>
          <w:rFonts w:hint="eastAsia"/>
          <w:spacing w:val="-1"/>
          <w:lang w:eastAsia="zh-CN"/>
        </w:rPr>
        <w:t>三</w:t>
      </w:r>
      <w:r>
        <w:rPr>
          <w:spacing w:val="-1"/>
          <w:lang w:eastAsia="zh-CN"/>
        </w:rPr>
        <w:t>个方面考核本项目产出情况，满分为 30 分，得分为29.8分，得分率为99.33%。</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1.产出数量</w:t>
      </w:r>
    </w:p>
    <w:p>
      <w:pPr>
        <w:pStyle w:val="5"/>
        <w:spacing w:line="600" w:lineRule="exact"/>
        <w:ind w:right="257" w:firstLine="636" w:firstLineChars="200"/>
        <w:jc w:val="both"/>
        <w:rPr>
          <w:spacing w:val="-1"/>
          <w:lang w:eastAsia="zh-CN"/>
        </w:rPr>
      </w:pPr>
      <w:r>
        <w:rPr>
          <w:spacing w:val="-1"/>
          <w:lang w:eastAsia="zh-CN"/>
        </w:rPr>
        <w:t>本项目海南</w:t>
      </w:r>
      <w:r>
        <w:rPr>
          <w:rFonts w:hint="eastAsia"/>
          <w:spacing w:val="-1"/>
          <w:lang w:eastAsia="zh-CN"/>
        </w:rPr>
        <w:t>省财政拨付海南省商务厅</w:t>
      </w:r>
      <w:r>
        <w:rPr>
          <w:spacing w:val="-1"/>
          <w:lang w:eastAsia="zh-CN"/>
        </w:rPr>
        <w:t>3,000.</w:t>
      </w:r>
      <w:r>
        <w:rPr>
          <w:rFonts w:hint="eastAsia"/>
          <w:spacing w:val="-1"/>
          <w:lang w:eastAsia="zh-CN"/>
        </w:rPr>
        <w:t>00</w:t>
      </w:r>
      <w:r>
        <w:rPr>
          <w:spacing w:val="-1"/>
          <w:lang w:eastAsia="zh-CN"/>
        </w:rPr>
        <w:t>万元消费券资金，并足额安排发放3,000</w:t>
      </w:r>
      <w:r>
        <w:rPr>
          <w:rFonts w:hint="eastAsia"/>
          <w:spacing w:val="-1"/>
          <w:lang w:eastAsia="zh-CN"/>
        </w:rPr>
        <w:t>.00</w:t>
      </w:r>
      <w:r>
        <w:rPr>
          <w:spacing w:val="-1"/>
          <w:lang w:eastAsia="zh-CN"/>
        </w:rPr>
        <w:t>万元离岛免税消费券, 消费券资金核销2</w:t>
      </w:r>
      <w:r>
        <w:rPr>
          <w:rFonts w:hint="eastAsia"/>
          <w:spacing w:val="-1"/>
          <w:lang w:eastAsia="zh-CN"/>
        </w:rPr>
        <w:t>,</w:t>
      </w:r>
      <w:r>
        <w:rPr>
          <w:spacing w:val="-1"/>
          <w:lang w:eastAsia="zh-CN"/>
        </w:rPr>
        <w:t>949.72万元，结余资金50.27万元。本项目</w:t>
      </w:r>
      <w:r>
        <w:rPr>
          <w:rFonts w:hint="eastAsia"/>
          <w:spacing w:val="-1"/>
          <w:lang w:eastAsia="zh-CN"/>
        </w:rPr>
        <w:t>实际完成率</w:t>
      </w:r>
      <w:r>
        <w:rPr>
          <w:spacing w:val="-1"/>
          <w:lang w:eastAsia="zh-CN"/>
        </w:rPr>
        <w:t>=（实际产出数/计划产出数）×100%</w:t>
      </w:r>
      <w:r>
        <w:rPr>
          <w:rFonts w:hint="eastAsia"/>
          <w:spacing w:val="-1"/>
          <w:lang w:eastAsia="zh-CN"/>
        </w:rPr>
        <w:t>=</w:t>
      </w:r>
      <w:r>
        <w:rPr>
          <w:spacing w:val="-1"/>
          <w:lang w:eastAsia="zh-CN"/>
        </w:rPr>
        <w:t>2,949.73万元</w:t>
      </w:r>
      <w:r>
        <w:rPr>
          <w:rFonts w:hint="eastAsia"/>
          <w:spacing w:val="-1"/>
          <w:lang w:eastAsia="zh-CN"/>
        </w:rPr>
        <w:t>/</w:t>
      </w:r>
      <w:r>
        <w:rPr>
          <w:spacing w:val="-1"/>
          <w:lang w:eastAsia="zh-CN"/>
        </w:rPr>
        <w:t>3,000.00万元</w:t>
      </w:r>
      <w:r>
        <w:rPr>
          <w:rFonts w:hint="eastAsia"/>
          <w:spacing w:val="-1"/>
          <w:lang w:eastAsia="zh-CN"/>
        </w:rPr>
        <w:t>=</w:t>
      </w:r>
      <w:r>
        <w:rPr>
          <w:spacing w:val="-1"/>
          <w:lang w:eastAsia="zh-CN"/>
        </w:rPr>
        <w:t>98.32</w:t>
      </w:r>
      <w:r>
        <w:rPr>
          <w:rFonts w:hint="eastAsia"/>
          <w:spacing w:val="-1"/>
          <w:lang w:eastAsia="zh-CN"/>
        </w:rPr>
        <w:t>%。</w:t>
      </w:r>
    </w:p>
    <w:p>
      <w:pPr>
        <w:pStyle w:val="5"/>
        <w:spacing w:line="600" w:lineRule="exact"/>
        <w:ind w:right="257" w:firstLine="636" w:firstLineChars="200"/>
        <w:jc w:val="both"/>
        <w:rPr>
          <w:spacing w:val="-1"/>
          <w:lang w:eastAsia="zh-CN"/>
        </w:rPr>
      </w:pPr>
      <w:r>
        <w:rPr>
          <w:rFonts w:hint="eastAsia"/>
          <w:spacing w:val="-1"/>
          <w:lang w:eastAsia="zh-CN"/>
        </w:rPr>
        <w:t>该指标标准得分12分，实际得分=12分</w:t>
      </w:r>
      <w:r>
        <w:rPr>
          <w:spacing w:val="-1"/>
          <w:lang w:eastAsia="zh-CN"/>
        </w:rPr>
        <w:t>×</w:t>
      </w:r>
      <w:r>
        <w:rPr>
          <w:rFonts w:hint="eastAsia"/>
          <w:spacing w:val="-1"/>
          <w:lang w:eastAsia="zh-CN"/>
        </w:rPr>
        <w:t>98.32%=11.80分，得分率</w:t>
      </w:r>
      <w:r>
        <w:rPr>
          <w:spacing w:val="-1"/>
          <w:lang w:eastAsia="zh-CN"/>
        </w:rPr>
        <w:t>98.33%</w:t>
      </w:r>
      <w:r>
        <w:rPr>
          <w:rFonts w:hint="eastAsia"/>
          <w:spacing w:val="-1"/>
          <w:lang w:eastAsia="zh-CN"/>
        </w:rPr>
        <w:t>。</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2.产出质量</w:t>
      </w:r>
    </w:p>
    <w:p>
      <w:pPr>
        <w:pStyle w:val="5"/>
        <w:spacing w:line="600" w:lineRule="exact"/>
        <w:ind w:right="257" w:firstLine="636" w:firstLineChars="200"/>
        <w:jc w:val="both"/>
        <w:rPr>
          <w:spacing w:val="-1"/>
          <w:lang w:eastAsia="zh-CN"/>
        </w:rPr>
      </w:pPr>
      <w:r>
        <w:rPr>
          <w:spacing w:val="-1"/>
          <w:lang w:eastAsia="zh-CN"/>
        </w:rPr>
        <w:t>本项目</w:t>
      </w:r>
      <w:r>
        <w:rPr>
          <w:rFonts w:hint="eastAsia"/>
          <w:spacing w:val="-1"/>
          <w:lang w:eastAsia="zh-CN"/>
        </w:rPr>
        <w:t>未</w:t>
      </w:r>
      <w:r>
        <w:rPr>
          <w:spacing w:val="-1"/>
          <w:lang w:eastAsia="zh-CN"/>
        </w:rPr>
        <w:t>发现核销人不知情或虚假套现等情况</w:t>
      </w:r>
      <w:r>
        <w:rPr>
          <w:rFonts w:hint="eastAsia"/>
          <w:spacing w:val="-1"/>
          <w:lang w:eastAsia="zh-CN"/>
        </w:rPr>
        <w:t>，说明消费券使用过程中不存在不合规的情况。</w:t>
      </w:r>
    </w:p>
    <w:p>
      <w:pPr>
        <w:pStyle w:val="5"/>
        <w:spacing w:line="600" w:lineRule="exact"/>
        <w:ind w:right="257" w:firstLine="636" w:firstLineChars="200"/>
        <w:jc w:val="both"/>
        <w:rPr>
          <w:spacing w:val="-1"/>
          <w:lang w:eastAsia="zh-CN"/>
        </w:rPr>
      </w:pPr>
      <w:r>
        <w:rPr>
          <w:rFonts w:hint="eastAsia"/>
          <w:spacing w:val="-1"/>
          <w:lang w:eastAsia="zh-CN"/>
        </w:rPr>
        <w:t>该指标标准得分10分，实际得分10分，得分率100%。</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3.产出时效</w:t>
      </w:r>
    </w:p>
    <w:p>
      <w:pPr>
        <w:pStyle w:val="5"/>
        <w:spacing w:line="600" w:lineRule="exact"/>
        <w:ind w:right="257" w:firstLine="636" w:firstLineChars="200"/>
        <w:jc w:val="both"/>
        <w:rPr>
          <w:spacing w:val="-1"/>
          <w:lang w:eastAsia="zh-CN"/>
        </w:rPr>
      </w:pPr>
      <w:r>
        <w:rPr>
          <w:spacing w:val="-1"/>
          <w:lang w:eastAsia="zh-CN"/>
        </w:rPr>
        <w:t>本项目</w:t>
      </w:r>
      <w:r>
        <w:rPr>
          <w:rFonts w:hint="eastAsia"/>
          <w:spacing w:val="-1"/>
          <w:lang w:eastAsia="zh-CN"/>
        </w:rPr>
        <w:t>按照项目实施计划或相关规定时间完成项目工作任务。其中：第一期消费券1,000万元发放时间为</w:t>
      </w:r>
      <w:r>
        <w:rPr>
          <w:spacing w:val="-1"/>
          <w:lang w:eastAsia="zh-CN"/>
        </w:rPr>
        <w:t>2023年6</w:t>
      </w:r>
      <w:r>
        <w:rPr>
          <w:rFonts w:hint="eastAsia"/>
          <w:spacing w:val="-1"/>
          <w:lang w:eastAsia="zh-CN"/>
        </w:rPr>
        <w:t>月</w:t>
      </w:r>
      <w:r>
        <w:rPr>
          <w:spacing w:val="-1"/>
          <w:lang w:eastAsia="zh-CN"/>
        </w:rPr>
        <w:t>22</w:t>
      </w:r>
      <w:r>
        <w:rPr>
          <w:rFonts w:hint="eastAsia"/>
          <w:spacing w:val="-1"/>
          <w:lang w:eastAsia="zh-CN"/>
        </w:rPr>
        <w:t>日</w:t>
      </w:r>
      <w:r>
        <w:rPr>
          <w:spacing w:val="-1"/>
          <w:lang w:eastAsia="zh-CN"/>
        </w:rPr>
        <w:t>-2023年7</w:t>
      </w:r>
      <w:r>
        <w:rPr>
          <w:rFonts w:hint="eastAsia"/>
          <w:spacing w:val="-1"/>
          <w:lang w:eastAsia="zh-CN"/>
        </w:rPr>
        <w:t>月</w:t>
      </w:r>
      <w:r>
        <w:rPr>
          <w:spacing w:val="-1"/>
          <w:lang w:eastAsia="zh-CN"/>
        </w:rPr>
        <w:t>12</w:t>
      </w:r>
      <w:r>
        <w:rPr>
          <w:rFonts w:hint="eastAsia"/>
          <w:spacing w:val="-1"/>
          <w:lang w:eastAsia="zh-CN"/>
        </w:rPr>
        <w:t>日，按照相关规定及时发放。第二期消费券2,000万元发放时间为</w:t>
      </w:r>
      <w:r>
        <w:rPr>
          <w:spacing w:val="-1"/>
          <w:lang w:eastAsia="zh-CN"/>
        </w:rPr>
        <w:t>2023年7</w:t>
      </w:r>
      <w:r>
        <w:rPr>
          <w:rFonts w:hint="eastAsia"/>
          <w:spacing w:val="-1"/>
          <w:lang w:eastAsia="zh-CN"/>
        </w:rPr>
        <w:t>月</w:t>
      </w:r>
      <w:r>
        <w:rPr>
          <w:spacing w:val="-1"/>
          <w:lang w:eastAsia="zh-CN"/>
        </w:rPr>
        <w:t>4</w:t>
      </w:r>
      <w:r>
        <w:rPr>
          <w:rFonts w:hint="eastAsia"/>
          <w:spacing w:val="-1"/>
          <w:lang w:eastAsia="zh-CN"/>
        </w:rPr>
        <w:t>日</w:t>
      </w:r>
      <w:r>
        <w:rPr>
          <w:spacing w:val="-1"/>
          <w:lang w:eastAsia="zh-CN"/>
        </w:rPr>
        <w:t>-2023年7</w:t>
      </w:r>
      <w:r>
        <w:rPr>
          <w:rFonts w:hint="eastAsia"/>
          <w:spacing w:val="-1"/>
          <w:lang w:eastAsia="zh-CN"/>
        </w:rPr>
        <w:t>月</w:t>
      </w:r>
      <w:r>
        <w:rPr>
          <w:spacing w:val="-1"/>
          <w:lang w:eastAsia="zh-CN"/>
        </w:rPr>
        <w:t>21</w:t>
      </w:r>
      <w:r>
        <w:rPr>
          <w:rFonts w:hint="eastAsia"/>
          <w:spacing w:val="-1"/>
          <w:lang w:eastAsia="zh-CN"/>
        </w:rPr>
        <w:t>日，按照相关规定及时发放。所有消费券于2023年10月11日核销完毕，按规定时间完成。</w:t>
      </w:r>
    </w:p>
    <w:p>
      <w:pPr>
        <w:pStyle w:val="5"/>
        <w:spacing w:line="600" w:lineRule="exact"/>
        <w:ind w:right="257" w:firstLine="636" w:firstLineChars="200"/>
        <w:jc w:val="both"/>
        <w:rPr>
          <w:spacing w:val="-1"/>
          <w:lang w:eastAsia="zh-CN"/>
        </w:rPr>
      </w:pPr>
      <w:r>
        <w:rPr>
          <w:rFonts w:hint="eastAsia"/>
          <w:spacing w:val="-1"/>
          <w:lang w:eastAsia="zh-CN"/>
        </w:rPr>
        <w:t>该指标标准得分8分，实际得分8分，得分率100%。</w:t>
      </w:r>
    </w:p>
    <w:p>
      <w:pPr>
        <w:pStyle w:val="3"/>
        <w:spacing w:before="0" w:after="0" w:line="600" w:lineRule="exact"/>
        <w:ind w:firstLine="640" w:firstLineChars="200"/>
        <w:rPr>
          <w:rFonts w:ascii="楷体" w:hAnsi="楷体" w:eastAsia="楷体" w:cs="楷体"/>
          <w:b w:val="0"/>
          <w:bCs w:val="0"/>
          <w:lang w:eastAsia="zh-CN"/>
        </w:rPr>
      </w:pPr>
      <w:bookmarkStart w:id="50" w:name="_bookmark19"/>
      <w:bookmarkEnd w:id="50"/>
      <w:bookmarkStart w:id="51" w:name="_Toc167789389"/>
      <w:r>
        <w:rPr>
          <w:rFonts w:hint="eastAsia" w:ascii="楷体" w:hAnsi="楷体" w:eastAsia="楷体" w:cs="楷体"/>
          <w:b w:val="0"/>
          <w:bCs w:val="0"/>
          <w:lang w:eastAsia="zh-CN"/>
        </w:rPr>
        <w:t>(四)项目效益情况</w:t>
      </w:r>
      <w:bookmarkEnd w:id="51"/>
    </w:p>
    <w:p>
      <w:pPr>
        <w:pStyle w:val="5"/>
        <w:spacing w:line="600" w:lineRule="exact"/>
        <w:ind w:right="257" w:firstLine="636" w:firstLineChars="200"/>
        <w:jc w:val="both"/>
        <w:rPr>
          <w:spacing w:val="-1"/>
          <w:lang w:eastAsia="zh-CN"/>
        </w:rPr>
      </w:pPr>
      <w:r>
        <w:rPr>
          <w:spacing w:val="-1"/>
          <w:lang w:eastAsia="zh-CN"/>
        </w:rPr>
        <w:t>评价小组从</w:t>
      </w:r>
      <w:r>
        <w:rPr>
          <w:rFonts w:hint="eastAsia"/>
          <w:spacing w:val="-1"/>
          <w:lang w:eastAsia="zh-CN"/>
        </w:rPr>
        <w:t>社会效益</w:t>
      </w:r>
      <w:r>
        <w:rPr>
          <w:spacing w:val="-1"/>
          <w:lang w:eastAsia="zh-CN"/>
        </w:rPr>
        <w:t>、经济效益、</w:t>
      </w:r>
      <w:r>
        <w:rPr>
          <w:rFonts w:hint="eastAsia"/>
          <w:spacing w:val="-1"/>
          <w:lang w:eastAsia="zh-CN"/>
        </w:rPr>
        <w:t>可持续影响、</w:t>
      </w:r>
      <w:r>
        <w:rPr>
          <w:spacing w:val="-1"/>
          <w:lang w:eastAsia="zh-CN"/>
        </w:rPr>
        <w:t>满意度</w:t>
      </w:r>
      <w:r>
        <w:rPr>
          <w:rFonts w:hint="eastAsia"/>
          <w:spacing w:val="-1"/>
          <w:lang w:eastAsia="zh-CN"/>
        </w:rPr>
        <w:t>四</w:t>
      </w:r>
      <w:r>
        <w:rPr>
          <w:spacing w:val="-1"/>
          <w:lang w:eastAsia="zh-CN"/>
        </w:rPr>
        <w:t xml:space="preserve">个方面考核本项目效益情况，满分为 </w:t>
      </w:r>
      <w:r>
        <w:rPr>
          <w:rFonts w:hint="eastAsia"/>
          <w:spacing w:val="-1"/>
          <w:lang w:eastAsia="zh-CN"/>
        </w:rPr>
        <w:t>30</w:t>
      </w:r>
      <w:r>
        <w:rPr>
          <w:spacing w:val="-1"/>
          <w:lang w:eastAsia="zh-CN"/>
        </w:rPr>
        <w:t xml:space="preserve"> 分，得分为 27.76分，得分率为92.53%，本项目效益完成情况良好，整体满意度较高。</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1.社会效益</w:t>
      </w:r>
    </w:p>
    <w:p>
      <w:pPr>
        <w:pStyle w:val="5"/>
        <w:spacing w:line="600" w:lineRule="exact"/>
        <w:ind w:right="257" w:firstLine="636" w:firstLineChars="200"/>
        <w:jc w:val="both"/>
        <w:rPr>
          <w:spacing w:val="-1"/>
          <w:lang w:eastAsia="zh-CN"/>
        </w:rPr>
      </w:pPr>
      <w:r>
        <w:rPr>
          <w:rFonts w:hint="eastAsia"/>
          <w:spacing w:val="-1"/>
          <w:lang w:eastAsia="zh-CN"/>
        </w:rPr>
        <w:t>本项目的实施得到商户的积极参与，群众对政策的知晓程度有所增加，提振了居民消费积极性，满足消费者需求，激发市场活力，助力经济稳步提升。从</w:t>
      </w:r>
      <w:r>
        <w:rPr>
          <w:spacing w:val="-1"/>
          <w:lang w:eastAsia="zh-CN"/>
        </w:rPr>
        <w:t>2023年海南省各消费券发放领取对比看，免税场景最受消费者欢迎，核销率最高，拉动效果最好。特别是暑期旅游小高峰和第二届海南国际离岛免税购物节开展系列丰富活动，对免税购物需求刺激效果明显</w:t>
      </w:r>
      <w:r>
        <w:rPr>
          <w:rFonts w:hint="eastAsia"/>
          <w:spacing w:val="-1"/>
          <w:lang w:eastAsia="zh-CN"/>
        </w:rPr>
        <w:t>。</w:t>
      </w:r>
    </w:p>
    <w:p>
      <w:pPr>
        <w:pStyle w:val="5"/>
        <w:spacing w:line="600" w:lineRule="exact"/>
        <w:ind w:right="257" w:firstLine="636" w:firstLineChars="200"/>
        <w:jc w:val="both"/>
        <w:rPr>
          <w:spacing w:val="-1"/>
          <w:lang w:eastAsia="zh-CN"/>
        </w:rPr>
      </w:pPr>
      <w:r>
        <w:rPr>
          <w:spacing w:val="-1"/>
          <w:lang w:eastAsia="zh-CN"/>
        </w:rPr>
        <w:t>本项目消费券核销期间为</w:t>
      </w:r>
      <w:r>
        <w:rPr>
          <w:rFonts w:hint="eastAsia"/>
          <w:spacing w:val="-1"/>
          <w:lang w:eastAsia="zh-CN"/>
        </w:rPr>
        <w:t>2023年6月22日至2023年10月11日，评价小组查阅海南省人民政府发布的统计月报，2022年6至10月海南省社会消费品零售总额为</w:t>
      </w:r>
      <w:r>
        <w:rPr>
          <w:spacing w:val="-1"/>
          <w:lang w:eastAsia="zh-CN"/>
        </w:rPr>
        <w:t>945.04</w:t>
      </w:r>
      <w:r>
        <w:rPr>
          <w:rFonts w:hint="eastAsia"/>
          <w:spacing w:val="-1"/>
          <w:lang w:eastAsia="zh-CN"/>
        </w:rPr>
        <w:t>亿元，2023年6至10月海南省社会消费品零售总额为</w:t>
      </w:r>
      <w:r>
        <w:rPr>
          <w:spacing w:val="-1"/>
          <w:lang w:eastAsia="zh-CN"/>
        </w:rPr>
        <w:t>1,044.46</w:t>
      </w:r>
      <w:r>
        <w:rPr>
          <w:rFonts w:hint="eastAsia"/>
          <w:spacing w:val="-1"/>
          <w:lang w:eastAsia="zh-CN"/>
        </w:rPr>
        <w:t>亿元，2023年6至10月海南省社会消费品零售总额比2022年同期增长</w:t>
      </w:r>
      <w:r>
        <w:rPr>
          <w:spacing w:val="-1"/>
          <w:lang w:eastAsia="zh-CN"/>
        </w:rPr>
        <w:t>99.42亿元，增</w:t>
      </w:r>
      <w:r>
        <w:rPr>
          <w:rFonts w:hint="eastAsia"/>
          <w:spacing w:val="-1"/>
          <w:lang w:eastAsia="zh-CN"/>
        </w:rPr>
        <w:t>幅</w:t>
      </w:r>
      <w:r>
        <w:rPr>
          <w:spacing w:val="-1"/>
          <w:lang w:eastAsia="zh-CN"/>
        </w:rPr>
        <w:t>10.52%。</w:t>
      </w:r>
      <w:r>
        <w:rPr>
          <w:rFonts w:hint="eastAsia"/>
          <w:spacing w:val="-1"/>
          <w:lang w:eastAsia="zh-CN"/>
        </w:rPr>
        <w:t>说明本项目实施提振了居民消费，社会效益较好。</w:t>
      </w:r>
    </w:p>
    <w:p>
      <w:pPr>
        <w:pStyle w:val="5"/>
        <w:spacing w:line="600" w:lineRule="exact"/>
        <w:ind w:right="257" w:firstLine="636" w:firstLineChars="200"/>
        <w:jc w:val="both"/>
        <w:rPr>
          <w:spacing w:val="-1"/>
          <w:lang w:eastAsia="zh-CN"/>
        </w:rPr>
      </w:pPr>
      <w:r>
        <w:rPr>
          <w:rFonts w:hint="eastAsia"/>
          <w:spacing w:val="-1"/>
          <w:lang w:eastAsia="zh-CN"/>
        </w:rPr>
        <w:t>该指标标准得分10分，实际得分</w:t>
      </w:r>
      <w:r>
        <w:rPr>
          <w:spacing w:val="-1"/>
          <w:lang w:eastAsia="zh-CN"/>
        </w:rPr>
        <w:t>9</w:t>
      </w:r>
      <w:r>
        <w:rPr>
          <w:rFonts w:hint="eastAsia"/>
          <w:spacing w:val="-1"/>
          <w:lang w:eastAsia="zh-CN"/>
        </w:rPr>
        <w:t>分，得分率90%。</w:t>
      </w:r>
    </w:p>
    <w:p>
      <w:pPr>
        <w:pStyle w:val="5"/>
        <w:spacing w:line="600" w:lineRule="exact"/>
        <w:ind w:right="257" w:firstLine="636" w:firstLineChars="200"/>
        <w:jc w:val="both"/>
        <w:rPr>
          <w:spacing w:val="-1"/>
          <w:lang w:eastAsia="zh-CN"/>
        </w:rPr>
      </w:pPr>
      <w:r>
        <w:rPr>
          <w:rFonts w:hint="eastAsia"/>
          <w:spacing w:val="-1"/>
          <w:lang w:eastAsia="zh-CN"/>
        </w:rPr>
        <w:t>2.经济效益</w:t>
      </w:r>
    </w:p>
    <w:p>
      <w:pPr>
        <w:pStyle w:val="5"/>
        <w:spacing w:line="600" w:lineRule="exact"/>
        <w:ind w:right="257" w:firstLine="636" w:firstLineChars="200"/>
        <w:jc w:val="both"/>
        <w:rPr>
          <w:spacing w:val="-1"/>
          <w:lang w:eastAsia="zh-CN"/>
        </w:rPr>
      </w:pPr>
      <w:r>
        <w:rPr>
          <w:spacing w:val="-1"/>
          <w:lang w:eastAsia="zh-CN"/>
        </w:rPr>
        <w:t>本项目3,000万离岛免税消费券共核销2,949.72万元，核销率98.32%，使用消费券直接购物金额7.86亿元，拉动系数为26.6，据平台反馈，</w:t>
      </w:r>
      <w:r>
        <w:rPr>
          <w:rFonts w:hint="eastAsia"/>
          <w:spacing w:val="-1"/>
          <w:lang w:eastAsia="zh-CN"/>
        </w:rPr>
        <w:t>银联“</w:t>
      </w:r>
      <w:r>
        <w:rPr>
          <w:spacing w:val="-1"/>
          <w:lang w:eastAsia="zh-CN"/>
        </w:rPr>
        <w:t>云闪付”平台全国平均拉动系数为5.05，海南省离岛免税消费券拉动系数远高于全国平均拉动系数，经济效益明显。</w:t>
      </w:r>
    </w:p>
    <w:p>
      <w:pPr>
        <w:pStyle w:val="5"/>
        <w:spacing w:line="600" w:lineRule="exact"/>
        <w:ind w:right="257" w:firstLine="636" w:firstLineChars="200"/>
        <w:jc w:val="both"/>
        <w:rPr>
          <w:spacing w:val="-1"/>
          <w:lang w:eastAsia="zh-CN"/>
        </w:rPr>
      </w:pPr>
      <w:r>
        <w:rPr>
          <w:rFonts w:hint="eastAsia"/>
          <w:spacing w:val="-1"/>
          <w:lang w:eastAsia="zh-CN"/>
        </w:rPr>
        <w:t>该指标标准得分10分，实际得分10分，得分率100%。</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3.可持续影响</w:t>
      </w:r>
    </w:p>
    <w:p>
      <w:pPr>
        <w:pStyle w:val="5"/>
        <w:spacing w:line="600" w:lineRule="exact"/>
        <w:ind w:right="257" w:firstLine="636" w:firstLineChars="200"/>
        <w:jc w:val="both"/>
        <w:rPr>
          <w:spacing w:val="-1"/>
          <w:lang w:eastAsia="zh-CN"/>
        </w:rPr>
      </w:pPr>
      <w:r>
        <w:rPr>
          <w:rFonts w:hint="eastAsia"/>
          <w:spacing w:val="-1"/>
          <w:lang w:eastAsia="zh-CN"/>
        </w:rPr>
        <w:t>促消费活动消费券项目提振消费信心，激发市场活力，助力经济稳步提升，每年均可申请财政预算资金，项目在政策和资金上有一定保障。</w:t>
      </w:r>
    </w:p>
    <w:p>
      <w:pPr>
        <w:pStyle w:val="5"/>
        <w:spacing w:line="600" w:lineRule="exact"/>
        <w:ind w:right="257" w:firstLine="636" w:firstLineChars="200"/>
        <w:jc w:val="both"/>
        <w:rPr>
          <w:spacing w:val="-1"/>
          <w:lang w:eastAsia="zh-CN"/>
        </w:rPr>
      </w:pPr>
      <w:r>
        <w:rPr>
          <w:spacing w:val="-1"/>
          <w:lang w:eastAsia="zh-CN"/>
        </w:rPr>
        <w:t>本项目消费券于</w:t>
      </w:r>
      <w:r>
        <w:rPr>
          <w:rFonts w:hint="eastAsia"/>
          <w:spacing w:val="-1"/>
          <w:lang w:eastAsia="zh-CN"/>
        </w:rPr>
        <w:t>2023年10月11日全部</w:t>
      </w:r>
      <w:r>
        <w:rPr>
          <w:spacing w:val="-1"/>
          <w:lang w:eastAsia="zh-CN"/>
        </w:rPr>
        <w:t>核销</w:t>
      </w:r>
      <w:r>
        <w:rPr>
          <w:rFonts w:hint="eastAsia"/>
          <w:spacing w:val="-1"/>
          <w:lang w:eastAsia="zh-CN"/>
        </w:rPr>
        <w:t>完毕，评价小组查阅海南省人民政府发布的统计月报，2022年11至2023年4月海南省社会消费品零售总额为</w:t>
      </w:r>
      <w:r>
        <w:rPr>
          <w:spacing w:val="-1"/>
          <w:lang w:eastAsia="zh-CN"/>
        </w:rPr>
        <w:t>1,137.75</w:t>
      </w:r>
      <w:r>
        <w:rPr>
          <w:rFonts w:hint="eastAsia"/>
          <w:spacing w:val="-1"/>
          <w:lang w:eastAsia="zh-CN"/>
        </w:rPr>
        <w:t>亿元，2023年11至2024年4月海南省社会消费品零售总额为</w:t>
      </w:r>
      <w:r>
        <w:rPr>
          <w:spacing w:val="-1"/>
          <w:lang w:eastAsia="zh-CN"/>
        </w:rPr>
        <w:t>1,262.69</w:t>
      </w:r>
      <w:r>
        <w:rPr>
          <w:rFonts w:hint="eastAsia"/>
          <w:spacing w:val="-1"/>
          <w:lang w:eastAsia="zh-CN"/>
        </w:rPr>
        <w:t>亿元，2023年11至2024年4月海南省社会消费品零售总额比2022年11至2023年4月同期增长</w:t>
      </w:r>
      <w:r>
        <w:rPr>
          <w:spacing w:val="-1"/>
          <w:lang w:eastAsia="zh-CN"/>
        </w:rPr>
        <w:t>124.94亿元，增</w:t>
      </w:r>
      <w:r>
        <w:rPr>
          <w:rFonts w:hint="eastAsia"/>
          <w:spacing w:val="-1"/>
          <w:lang w:eastAsia="zh-CN"/>
        </w:rPr>
        <w:t>幅</w:t>
      </w:r>
      <w:r>
        <w:rPr>
          <w:spacing w:val="-1"/>
          <w:lang w:eastAsia="zh-CN"/>
        </w:rPr>
        <w:t>10.98%。</w:t>
      </w:r>
      <w:r>
        <w:rPr>
          <w:rFonts w:hint="eastAsia"/>
          <w:spacing w:val="-1"/>
          <w:lang w:eastAsia="zh-CN"/>
        </w:rPr>
        <w:t>本项目实施完成后，海南省社会消费品零售总额仍有较大的增幅，说明本项目的实施对居民消费产生了可持续长期影响。</w:t>
      </w:r>
    </w:p>
    <w:p>
      <w:pPr>
        <w:pStyle w:val="5"/>
        <w:spacing w:line="600" w:lineRule="exact"/>
        <w:ind w:right="257" w:firstLine="636" w:firstLineChars="200"/>
        <w:jc w:val="both"/>
        <w:rPr>
          <w:color w:val="FF0000"/>
          <w:spacing w:val="-1"/>
          <w:lang w:eastAsia="zh-CN"/>
        </w:rPr>
      </w:pPr>
      <w:r>
        <w:rPr>
          <w:rFonts w:hint="eastAsia"/>
          <w:spacing w:val="-1"/>
          <w:lang w:eastAsia="zh-CN"/>
        </w:rPr>
        <w:t>海南省商务厅未就消费券发放活动设立相应的专项业务管理制度，在项目决策程序、发放过程监督管理、资料归档、结项、验收和退款流程等方面缺少专门的制度规定，对项目可持续有一定影响。</w:t>
      </w:r>
    </w:p>
    <w:p>
      <w:pPr>
        <w:pStyle w:val="5"/>
        <w:spacing w:line="600" w:lineRule="exact"/>
        <w:ind w:right="257" w:firstLine="636" w:firstLineChars="200"/>
        <w:jc w:val="both"/>
        <w:rPr>
          <w:spacing w:val="-1"/>
          <w:lang w:eastAsia="zh-CN"/>
        </w:rPr>
      </w:pPr>
      <w:r>
        <w:rPr>
          <w:rFonts w:hint="eastAsia"/>
          <w:spacing w:val="-1"/>
          <w:lang w:eastAsia="zh-CN"/>
        </w:rPr>
        <w:t>该指标标准得分6分，实际得分5分，得分率</w:t>
      </w:r>
      <w:r>
        <w:rPr>
          <w:spacing w:val="-1"/>
          <w:lang w:eastAsia="zh-CN"/>
        </w:rPr>
        <w:t>83.33%</w:t>
      </w:r>
      <w:r>
        <w:rPr>
          <w:rFonts w:hint="eastAsia"/>
          <w:spacing w:val="-1"/>
          <w:lang w:eastAsia="zh-CN"/>
        </w:rPr>
        <w:t>。</w:t>
      </w:r>
    </w:p>
    <w:p>
      <w:pPr>
        <w:pStyle w:val="23"/>
        <w:tabs>
          <w:tab w:val="left" w:pos="1183"/>
        </w:tabs>
        <w:spacing w:line="600" w:lineRule="exact"/>
        <w:ind w:left="0" w:firstLine="640" w:firstLineChars="200"/>
        <w:rPr>
          <w:rFonts w:ascii="仿宋" w:eastAsia="仿宋"/>
          <w:b w:val="0"/>
          <w:bCs w:val="0"/>
          <w:lang w:eastAsia="zh-CN"/>
        </w:rPr>
      </w:pPr>
      <w:r>
        <w:rPr>
          <w:rFonts w:hint="eastAsia" w:ascii="仿宋" w:eastAsia="仿宋"/>
          <w:b w:val="0"/>
          <w:bCs w:val="0"/>
          <w:lang w:eastAsia="zh-CN"/>
        </w:rPr>
        <w:t>4.</w:t>
      </w:r>
      <w:r>
        <w:rPr>
          <w:rFonts w:ascii="仿宋" w:eastAsia="仿宋"/>
          <w:b w:val="0"/>
          <w:bCs w:val="0"/>
          <w:lang w:eastAsia="zh-CN"/>
        </w:rPr>
        <w:t>满意度</w:t>
      </w:r>
      <w:bookmarkStart w:id="52" w:name="_bookmark21"/>
      <w:bookmarkEnd w:id="52"/>
    </w:p>
    <w:p>
      <w:pPr>
        <w:pStyle w:val="5"/>
        <w:spacing w:line="600" w:lineRule="exact"/>
        <w:ind w:right="257" w:firstLine="636" w:firstLineChars="200"/>
        <w:jc w:val="both"/>
        <w:rPr>
          <w:spacing w:val="-1"/>
          <w:lang w:eastAsia="zh-CN"/>
        </w:rPr>
      </w:pPr>
      <w:r>
        <w:rPr>
          <w:rFonts w:hint="eastAsia"/>
          <w:spacing w:val="-1"/>
          <w:lang w:eastAsia="zh-CN"/>
        </w:rPr>
        <w:t>本次调查人员共向商户、受益对象和人民群众发放调查问卷30</w:t>
      </w:r>
      <w:r>
        <w:rPr>
          <w:spacing w:val="-1"/>
          <w:lang w:eastAsia="zh-CN"/>
        </w:rPr>
        <w:t>份。综合满意度得分9</w:t>
      </w:r>
      <w:r>
        <w:rPr>
          <w:rFonts w:hint="eastAsia"/>
          <w:spacing w:val="-1"/>
          <w:lang w:eastAsia="zh-CN"/>
        </w:rPr>
        <w:t>4</w:t>
      </w:r>
      <w:r>
        <w:rPr>
          <w:spacing w:val="-1"/>
          <w:lang w:eastAsia="zh-CN"/>
        </w:rPr>
        <w:t>分</w:t>
      </w:r>
      <w:r>
        <w:rPr>
          <w:rFonts w:hint="eastAsia"/>
          <w:spacing w:val="-1"/>
          <w:lang w:eastAsia="zh-CN"/>
        </w:rPr>
        <w:t>。</w:t>
      </w:r>
    </w:p>
    <w:p>
      <w:pPr>
        <w:pStyle w:val="5"/>
        <w:spacing w:line="600" w:lineRule="exact"/>
        <w:ind w:right="257" w:firstLine="636" w:firstLineChars="200"/>
        <w:jc w:val="both"/>
        <w:rPr>
          <w:spacing w:val="-1"/>
          <w:lang w:eastAsia="zh-CN"/>
        </w:rPr>
      </w:pPr>
      <w:r>
        <w:rPr>
          <w:rFonts w:hint="eastAsia"/>
          <w:spacing w:val="-1"/>
          <w:lang w:eastAsia="zh-CN"/>
        </w:rPr>
        <w:t>该指标标准得分4分，实际得分=4分</w:t>
      </w:r>
      <w:r>
        <w:rPr>
          <w:spacing w:val="-1"/>
          <w:lang w:eastAsia="zh-CN"/>
        </w:rPr>
        <w:t>×</w:t>
      </w:r>
      <w:r>
        <w:rPr>
          <w:rFonts w:hint="eastAsia"/>
          <w:spacing w:val="-1"/>
          <w:lang w:eastAsia="zh-CN"/>
        </w:rPr>
        <w:t>94%=3.76分，得分率94</w:t>
      </w:r>
      <w:r>
        <w:rPr>
          <w:spacing w:val="-1"/>
          <w:lang w:eastAsia="zh-CN"/>
        </w:rPr>
        <w:t>%</w:t>
      </w:r>
      <w:r>
        <w:rPr>
          <w:rFonts w:hint="eastAsia"/>
          <w:spacing w:val="-1"/>
          <w:lang w:eastAsia="zh-CN"/>
        </w:rPr>
        <w:t>。</w:t>
      </w:r>
    </w:p>
    <w:p>
      <w:pPr>
        <w:pStyle w:val="2"/>
        <w:spacing w:before="0" w:after="0" w:line="600" w:lineRule="exact"/>
        <w:ind w:firstLine="640" w:firstLineChars="200"/>
        <w:rPr>
          <w:rFonts w:ascii="黑体" w:hAnsi="黑体" w:cs="黑体"/>
          <w:b w:val="0"/>
          <w:bCs w:val="0"/>
          <w:lang w:eastAsia="zh-CN"/>
        </w:rPr>
      </w:pPr>
      <w:bookmarkStart w:id="53" w:name="_Toc167789390"/>
      <w:r>
        <w:rPr>
          <w:rFonts w:hint="eastAsia" w:ascii="黑体" w:hAnsi="黑体" w:cs="黑体"/>
          <w:b w:val="0"/>
          <w:bCs w:val="0"/>
          <w:lang w:eastAsia="zh-CN"/>
        </w:rPr>
        <w:t>五、主要经验及做法</w:t>
      </w:r>
      <w:bookmarkEnd w:id="53"/>
    </w:p>
    <w:p>
      <w:pPr>
        <w:spacing w:line="600" w:lineRule="exact"/>
        <w:ind w:right="260" w:firstLine="636" w:firstLineChars="200"/>
        <w:rPr>
          <w:spacing w:val="-1"/>
          <w:szCs w:val="32"/>
          <w:lang w:eastAsia="zh-CN"/>
        </w:rPr>
      </w:pPr>
      <w:bookmarkStart w:id="54" w:name="_bookmark22"/>
      <w:bookmarkEnd w:id="54"/>
      <w:r>
        <w:rPr>
          <w:rFonts w:hint="eastAsia"/>
          <w:spacing w:val="-1"/>
          <w:szCs w:val="32"/>
          <w:lang w:eastAsia="zh-CN"/>
        </w:rPr>
        <w:t>（一）用券便利性和吸引力评估。</w:t>
      </w:r>
    </w:p>
    <w:p>
      <w:pPr>
        <w:pStyle w:val="5"/>
        <w:spacing w:line="600" w:lineRule="exact"/>
        <w:ind w:right="257" w:firstLine="636" w:firstLineChars="200"/>
        <w:jc w:val="both"/>
        <w:rPr>
          <w:spacing w:val="-1"/>
          <w:lang w:eastAsia="zh-CN"/>
        </w:rPr>
      </w:pPr>
      <w:r>
        <w:rPr>
          <w:rFonts w:hint="eastAsia"/>
          <w:spacing w:val="-1"/>
          <w:lang w:eastAsia="zh-CN"/>
        </w:rPr>
        <w:t>消费券面折扣比例和金额越大，对消费者吸引力越强。综合来看消费券发放、领取、使用的流程越简单，消费券优惠力度越大，吸引力越强、核销率越高。</w:t>
      </w:r>
    </w:p>
    <w:p>
      <w:pPr>
        <w:pStyle w:val="23"/>
        <w:spacing w:line="600" w:lineRule="exact"/>
        <w:ind w:left="0" w:firstLine="636" w:firstLineChars="200"/>
        <w:rPr>
          <w:rFonts w:ascii="仿宋" w:hAnsi="仿宋" w:eastAsia="仿宋" w:cs="仿宋"/>
          <w:b w:val="0"/>
          <w:bCs w:val="0"/>
          <w:spacing w:val="-1"/>
          <w:lang w:eastAsia="zh-CN"/>
        </w:rPr>
      </w:pPr>
      <w:bookmarkStart w:id="55" w:name="_bookmark23"/>
      <w:bookmarkEnd w:id="55"/>
      <w:r>
        <w:rPr>
          <w:rFonts w:hint="eastAsia" w:ascii="仿宋" w:hAnsi="仿宋" w:eastAsia="仿宋" w:cs="仿宋"/>
          <w:b w:val="0"/>
          <w:bCs w:val="0"/>
          <w:spacing w:val="-1"/>
          <w:lang w:eastAsia="zh-CN"/>
        </w:rPr>
        <w:t>（二）平台发放情况评估。</w:t>
      </w:r>
    </w:p>
    <w:p>
      <w:pPr>
        <w:pStyle w:val="5"/>
        <w:spacing w:line="600" w:lineRule="exact"/>
        <w:ind w:right="257" w:firstLine="636" w:firstLineChars="200"/>
        <w:jc w:val="both"/>
        <w:rPr>
          <w:spacing w:val="-1"/>
          <w:lang w:eastAsia="zh-CN"/>
        </w:rPr>
      </w:pPr>
      <w:r>
        <w:rPr>
          <w:rFonts w:hint="eastAsia"/>
          <w:spacing w:val="-1"/>
          <w:lang w:eastAsia="zh-CN"/>
        </w:rPr>
        <w:t>银联“云闪付”作为本次消费券发放工作的平台公司，银联“云闪付”APP在首页设有海南省政府消费券入口，消费者在首页点击进入后即可领取，领取后在免税商店线下支付环节时出示消费券，满足使用金额要求即可核销，操作链路短。根据免税店反馈，操作简单，使用便利，消费者接受度高</w:t>
      </w:r>
      <w:r>
        <w:rPr>
          <w:spacing w:val="-1"/>
          <w:lang w:eastAsia="zh-CN"/>
        </w:rPr>
        <w:t>。</w:t>
      </w:r>
    </w:p>
    <w:p>
      <w:pPr>
        <w:pStyle w:val="2"/>
        <w:spacing w:before="0" w:after="0" w:line="600" w:lineRule="exact"/>
        <w:ind w:firstLine="640" w:firstLineChars="200"/>
        <w:rPr>
          <w:rFonts w:ascii="黑体" w:hAnsi="黑体" w:cs="黑体"/>
          <w:b w:val="0"/>
          <w:bCs w:val="0"/>
          <w:lang w:eastAsia="zh-CN"/>
        </w:rPr>
      </w:pPr>
      <w:bookmarkStart w:id="56" w:name="_bookmark24"/>
      <w:bookmarkEnd w:id="56"/>
      <w:bookmarkStart w:id="57" w:name="_Toc167789391"/>
      <w:r>
        <w:rPr>
          <w:rFonts w:hint="eastAsia" w:ascii="黑体" w:hAnsi="黑体" w:cs="黑体"/>
          <w:b w:val="0"/>
          <w:bCs w:val="0"/>
          <w:lang w:eastAsia="zh-CN"/>
        </w:rPr>
        <w:t>六、不足及改进建议</w:t>
      </w:r>
      <w:bookmarkEnd w:id="57"/>
    </w:p>
    <w:p>
      <w:pPr>
        <w:pStyle w:val="5"/>
        <w:spacing w:line="600" w:lineRule="exact"/>
        <w:ind w:right="257" w:firstLine="636" w:firstLineChars="200"/>
        <w:jc w:val="both"/>
        <w:rPr>
          <w:lang w:eastAsia="zh-CN"/>
        </w:rPr>
      </w:pPr>
      <w:r>
        <w:rPr>
          <w:rFonts w:hint="eastAsia"/>
          <w:spacing w:val="-1"/>
          <w:lang w:eastAsia="zh-CN"/>
        </w:rPr>
        <w:t>（一）绩效目标不明确、绩效</w:t>
      </w:r>
      <w:r>
        <w:rPr>
          <w:rFonts w:hint="eastAsia"/>
          <w:lang w:eastAsia="zh-CN"/>
        </w:rPr>
        <w:t>指标设置不足。</w:t>
      </w:r>
    </w:p>
    <w:p>
      <w:pPr>
        <w:pStyle w:val="5"/>
        <w:spacing w:line="600" w:lineRule="exact"/>
        <w:ind w:right="257" w:firstLine="640" w:firstLineChars="200"/>
        <w:jc w:val="both"/>
        <w:rPr>
          <w:spacing w:val="-1"/>
          <w:lang w:eastAsia="zh-CN"/>
        </w:rPr>
      </w:pPr>
      <w:r>
        <w:rPr>
          <w:rFonts w:hint="eastAsia"/>
          <w:lang w:eastAsia="zh-CN"/>
        </w:rPr>
        <w:t>一是</w:t>
      </w:r>
      <w:r>
        <w:rPr>
          <w:rFonts w:hint="eastAsia"/>
          <w:spacing w:val="-1"/>
          <w:lang w:eastAsia="zh-CN"/>
        </w:rPr>
        <w:t>绩效目标未设定预期的产出效益和效果；</w:t>
      </w:r>
      <w:r>
        <w:rPr>
          <w:rFonts w:hint="eastAsia"/>
          <w:lang w:eastAsia="zh-CN"/>
        </w:rPr>
        <w:t>二是绩效指标设置太少、不够全面，未充分体现项目实施产生的经济和社会效益；三是未</w:t>
      </w:r>
      <w:r>
        <w:rPr>
          <w:spacing w:val="-1"/>
          <w:lang w:eastAsia="zh-CN"/>
        </w:rPr>
        <w:t>设立</w:t>
      </w:r>
      <w:r>
        <w:rPr>
          <w:rFonts w:hint="eastAsia"/>
          <w:spacing w:val="-1"/>
          <w:lang w:eastAsia="zh-CN"/>
        </w:rPr>
        <w:t>反映服务对象或项目受益人及其他相关群体的认可程度的满意度指标。</w:t>
      </w:r>
    </w:p>
    <w:p>
      <w:pPr>
        <w:pStyle w:val="5"/>
        <w:spacing w:line="600" w:lineRule="exact"/>
        <w:ind w:right="257" w:firstLine="636" w:firstLineChars="200"/>
        <w:jc w:val="both"/>
        <w:rPr>
          <w:spacing w:val="-1"/>
          <w:lang w:eastAsia="zh-CN"/>
        </w:rPr>
      </w:pPr>
      <w:r>
        <w:rPr>
          <w:spacing w:val="-1"/>
          <w:lang w:eastAsia="zh-CN"/>
        </w:rPr>
        <w:t>（</w:t>
      </w:r>
      <w:r>
        <w:rPr>
          <w:rFonts w:hint="eastAsia"/>
          <w:spacing w:val="-1"/>
          <w:lang w:eastAsia="zh-CN"/>
        </w:rPr>
        <w:t>二</w:t>
      </w:r>
      <w:r>
        <w:rPr>
          <w:spacing w:val="-1"/>
          <w:lang w:eastAsia="zh-CN"/>
        </w:rPr>
        <w:t>）管理制度不健全，项目实施缺乏规范程序。</w:t>
      </w:r>
    </w:p>
    <w:p>
      <w:pPr>
        <w:pStyle w:val="5"/>
        <w:spacing w:line="600" w:lineRule="exact"/>
        <w:ind w:right="257" w:firstLine="636" w:firstLineChars="200"/>
        <w:jc w:val="both"/>
        <w:rPr>
          <w:spacing w:val="-1"/>
          <w:lang w:eastAsia="zh-CN"/>
        </w:rPr>
      </w:pPr>
      <w:r>
        <w:rPr>
          <w:rFonts w:hint="eastAsia"/>
          <w:spacing w:val="-1"/>
          <w:lang w:eastAsia="zh-CN"/>
        </w:rPr>
        <w:t>海南省商务厅未就消费券发放活动设立相应的专项业务管理制度，在决策程序、发放过程监督管理、资料归档、结项、验收和退款流程等方面缺少制度规定。管理制度不健全导致项目实施过程中项目开展和执行标准缺乏统一的规定，且无项目验收环节，不利于优化全过程监督管理，存在影响项目进展的隐患。</w:t>
      </w:r>
    </w:p>
    <w:p>
      <w:pPr>
        <w:pStyle w:val="2"/>
        <w:spacing w:before="0" w:after="0" w:line="600" w:lineRule="exact"/>
        <w:ind w:firstLine="640" w:firstLineChars="200"/>
        <w:rPr>
          <w:rFonts w:ascii="黑体" w:hAnsi="黑体" w:cs="黑体"/>
          <w:b w:val="0"/>
          <w:bCs w:val="0"/>
          <w:lang w:eastAsia="zh-CN"/>
        </w:rPr>
      </w:pPr>
      <w:bookmarkStart w:id="58" w:name="_Toc167789392"/>
      <w:r>
        <w:rPr>
          <w:rFonts w:hint="eastAsia" w:ascii="黑体" w:hAnsi="黑体" w:cs="黑体"/>
          <w:b w:val="0"/>
          <w:bCs w:val="0"/>
          <w:lang w:eastAsia="zh-CN"/>
        </w:rPr>
        <w:t>七、有关建议</w:t>
      </w:r>
      <w:bookmarkEnd w:id="58"/>
    </w:p>
    <w:p>
      <w:pPr>
        <w:pStyle w:val="5"/>
        <w:spacing w:line="600" w:lineRule="exact"/>
        <w:ind w:right="257" w:firstLine="636" w:firstLineChars="200"/>
        <w:jc w:val="both"/>
        <w:rPr>
          <w:spacing w:val="-1"/>
          <w:lang w:eastAsia="zh-CN"/>
        </w:rPr>
      </w:pPr>
      <w:r>
        <w:rPr>
          <w:rFonts w:hint="eastAsia"/>
          <w:spacing w:val="-1"/>
          <w:lang w:eastAsia="zh-CN"/>
        </w:rPr>
        <w:t>（一）完善绩效目标设置，全面反映项目预期产出。</w:t>
      </w:r>
    </w:p>
    <w:p>
      <w:pPr>
        <w:pStyle w:val="5"/>
        <w:spacing w:line="600" w:lineRule="exact"/>
        <w:ind w:right="257" w:firstLine="636" w:firstLineChars="200"/>
        <w:jc w:val="both"/>
        <w:rPr>
          <w:spacing w:val="-1"/>
          <w:lang w:eastAsia="zh-CN"/>
        </w:rPr>
      </w:pPr>
      <w:r>
        <w:rPr>
          <w:rFonts w:hint="eastAsia"/>
          <w:spacing w:val="-1"/>
          <w:lang w:eastAsia="zh-CN"/>
        </w:rPr>
        <w:t>建议海南省商务厅科学合理地设置绩效目标、绩效指标，一是绩效目标要设定预期的产出效益和效果。二是确保指标充分细化、量化、可衡量，在经济效益、社会效益等方面设立能够充分全面反映消费券发放项目效益效果的指标，如：“消费券核销率”、“消费券杠杆率（拉动效应或撬动比）”等。三是</w:t>
      </w:r>
      <w:r>
        <w:rPr>
          <w:spacing w:val="-1"/>
          <w:lang w:eastAsia="zh-CN"/>
        </w:rPr>
        <w:t>在满意度方面设立</w:t>
      </w:r>
      <w:r>
        <w:rPr>
          <w:rFonts w:hint="eastAsia"/>
          <w:spacing w:val="-1"/>
          <w:lang w:eastAsia="zh-CN"/>
        </w:rPr>
        <w:t>反映服务对象或项目受益人及其他相关群体的认可程度的指标，如：“使用人员满意度”、“商户满意度”。</w:t>
      </w:r>
    </w:p>
    <w:p>
      <w:pPr>
        <w:pStyle w:val="5"/>
        <w:spacing w:line="600" w:lineRule="exact"/>
        <w:ind w:right="257" w:firstLine="636" w:firstLineChars="200"/>
        <w:jc w:val="both"/>
        <w:rPr>
          <w:spacing w:val="-1"/>
          <w:lang w:eastAsia="zh-CN"/>
        </w:rPr>
      </w:pPr>
      <w:r>
        <w:rPr>
          <w:spacing w:val="-1"/>
          <w:lang w:eastAsia="zh-CN"/>
        </w:rPr>
        <w:t>（</w:t>
      </w:r>
      <w:r>
        <w:rPr>
          <w:rFonts w:hint="eastAsia"/>
          <w:spacing w:val="-1"/>
          <w:lang w:eastAsia="zh-CN"/>
        </w:rPr>
        <w:t>二</w:t>
      </w:r>
      <w:r>
        <w:rPr>
          <w:spacing w:val="-1"/>
          <w:lang w:eastAsia="zh-CN"/>
        </w:rPr>
        <w:t>）完善管理制度。</w:t>
      </w:r>
    </w:p>
    <w:p>
      <w:pPr>
        <w:pStyle w:val="5"/>
        <w:spacing w:line="600" w:lineRule="exact"/>
        <w:ind w:right="257" w:firstLine="636" w:firstLineChars="200"/>
        <w:jc w:val="both"/>
        <w:rPr>
          <w:spacing w:val="-1"/>
          <w:lang w:eastAsia="zh-CN"/>
        </w:rPr>
      </w:pPr>
      <w:r>
        <w:rPr>
          <w:rFonts w:hint="eastAsia"/>
          <w:spacing w:val="-1"/>
          <w:lang w:eastAsia="zh-CN"/>
        </w:rPr>
        <w:t>建议海南省商务厅就消费券发放活动设立相应的专项业务管理制度，对消费券发放活动在决策程序、发放过程监督管理、资料归档、结项、验收和退款流程等方面作出管理规定。</w:t>
      </w:r>
    </w:p>
    <w:p>
      <w:pPr>
        <w:pStyle w:val="2"/>
        <w:spacing w:before="0" w:after="0" w:line="600" w:lineRule="exact"/>
        <w:ind w:firstLine="640" w:firstLineChars="200"/>
        <w:rPr>
          <w:rFonts w:ascii="黑体" w:hAnsi="黑体" w:cs="黑体"/>
          <w:b w:val="0"/>
          <w:bCs w:val="0"/>
          <w:lang w:eastAsia="zh-CN"/>
        </w:rPr>
      </w:pPr>
      <w:bookmarkStart w:id="59" w:name="_Toc167789393"/>
      <w:r>
        <w:rPr>
          <w:rFonts w:hint="eastAsia" w:ascii="黑体" w:hAnsi="黑体" w:cs="黑体"/>
          <w:b w:val="0"/>
          <w:bCs w:val="0"/>
          <w:lang w:eastAsia="zh-CN"/>
        </w:rPr>
        <w:t>八、其他需要说明的问题</w:t>
      </w:r>
      <w:bookmarkEnd w:id="59"/>
    </w:p>
    <w:p>
      <w:pPr>
        <w:pStyle w:val="5"/>
        <w:spacing w:line="600" w:lineRule="exact"/>
        <w:ind w:right="257" w:firstLine="636" w:firstLineChars="200"/>
        <w:jc w:val="both"/>
        <w:rPr>
          <w:spacing w:val="-1"/>
          <w:lang w:eastAsia="zh-CN"/>
        </w:rPr>
      </w:pPr>
      <w:r>
        <w:rPr>
          <w:spacing w:val="-1"/>
          <w:lang w:eastAsia="zh-CN"/>
        </w:rPr>
        <w:t>未提供资料的在本次绩效评价工作中默认为无。</w:t>
      </w:r>
    </w:p>
    <w:p>
      <w:pPr>
        <w:pStyle w:val="5"/>
        <w:spacing w:line="600" w:lineRule="exact"/>
        <w:ind w:right="257" w:firstLine="636" w:firstLineChars="200"/>
        <w:jc w:val="both"/>
        <w:rPr>
          <w:spacing w:val="-1"/>
          <w:lang w:eastAsia="zh-CN"/>
        </w:rPr>
      </w:pPr>
    </w:p>
    <w:p>
      <w:pPr>
        <w:pStyle w:val="5"/>
        <w:spacing w:line="600" w:lineRule="exact"/>
        <w:ind w:left="1814" w:leftChars="267" w:right="260" w:hanging="960" w:hangingChars="300"/>
        <w:jc w:val="both"/>
        <w:rPr>
          <w:lang w:eastAsia="zh-CN"/>
        </w:rPr>
      </w:pPr>
      <w:bookmarkStart w:id="60" w:name="_bookmark32"/>
      <w:bookmarkEnd w:id="60"/>
      <w:r>
        <w:rPr>
          <w:rFonts w:hint="eastAsia"/>
          <w:lang w:eastAsia="zh-CN"/>
        </w:rPr>
        <w:t>附件：</w:t>
      </w:r>
      <w:r>
        <w:rPr>
          <w:lang w:eastAsia="zh-CN"/>
        </w:rPr>
        <w:t>1</w:t>
      </w:r>
      <w:r>
        <w:rPr>
          <w:rFonts w:hint="eastAsia"/>
          <w:lang w:eastAsia="zh-CN"/>
        </w:rPr>
        <w:t>.</w:t>
      </w:r>
      <w:r>
        <w:rPr>
          <w:lang w:eastAsia="zh-CN"/>
        </w:rPr>
        <w:t>“促消费活动消费券”项目支出绩效评价指标体系</w:t>
      </w: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pStyle w:val="5"/>
        <w:spacing w:line="600" w:lineRule="exact"/>
        <w:ind w:left="1814" w:leftChars="567" w:right="260"/>
        <w:jc w:val="both"/>
        <w:rPr>
          <w:lang w:eastAsia="zh-CN"/>
        </w:rPr>
      </w:pPr>
    </w:p>
    <w:p>
      <w:pPr>
        <w:spacing w:line="326" w:lineRule="auto"/>
        <w:ind w:left="-429" w:leftChars="-134"/>
        <w:rPr>
          <w:color w:val="000000"/>
          <w:szCs w:val="32"/>
          <w:lang w:eastAsia="zh-CN"/>
        </w:rPr>
      </w:pPr>
      <w:r>
        <w:rPr>
          <w:rFonts w:hint="eastAsia"/>
          <w:color w:val="000000"/>
          <w:szCs w:val="32"/>
          <w:lang w:eastAsia="zh-CN"/>
        </w:rPr>
        <w:t xml:space="preserve">海南中欧会计师事务所有限公司     </w:t>
      </w:r>
      <w:r>
        <w:rPr>
          <w:color w:val="000000"/>
          <w:szCs w:val="32"/>
          <w:lang w:eastAsia="zh-CN"/>
        </w:rPr>
        <w:t>中国注册会计师：</w:t>
      </w:r>
    </w:p>
    <w:p>
      <w:pPr>
        <w:spacing w:beforeLines="200" w:afterLines="200" w:line="326" w:lineRule="auto"/>
        <w:ind w:firstLine="4800" w:firstLineChars="1500"/>
        <w:rPr>
          <w:color w:val="000000"/>
          <w:szCs w:val="32"/>
          <w:lang w:eastAsia="zh-CN"/>
        </w:rPr>
      </w:pPr>
      <w:r>
        <w:rPr>
          <w:rFonts w:hint="eastAsia"/>
          <w:color w:val="000000"/>
          <w:szCs w:val="32"/>
          <w:lang w:eastAsia="zh-CN"/>
        </w:rPr>
        <w:t>中国注册会计师：</w:t>
      </w:r>
    </w:p>
    <w:p>
      <w:pPr>
        <w:spacing w:line="326" w:lineRule="auto"/>
        <w:ind w:right="-1120" w:rightChars="-350" w:firstLine="960" w:firstLineChars="300"/>
        <w:rPr>
          <w:lang w:eastAsia="zh-CN"/>
        </w:rPr>
      </w:pPr>
      <w:r>
        <w:rPr>
          <w:rFonts w:hint="eastAsia"/>
          <w:color w:val="000000"/>
          <w:szCs w:val="32"/>
          <w:lang w:eastAsia="zh-CN"/>
        </w:rPr>
        <w:t>中国</w:t>
      </w:r>
      <w:r>
        <w:rPr>
          <w:rFonts w:hint="eastAsia" w:ascii="宋体" w:hAnsi="宋体" w:eastAsia="宋体" w:cs="宋体"/>
          <w:color w:val="000000"/>
          <w:szCs w:val="32"/>
          <w:lang w:eastAsia="zh-CN"/>
        </w:rPr>
        <w:t>•</w:t>
      </w:r>
      <w:r>
        <w:rPr>
          <w:rFonts w:hint="eastAsia"/>
          <w:color w:val="000000"/>
          <w:szCs w:val="32"/>
          <w:lang w:eastAsia="zh-CN"/>
        </w:rPr>
        <w:t xml:space="preserve">海口市              </w:t>
      </w:r>
      <w:r>
        <w:rPr>
          <w:color w:val="000000"/>
          <w:szCs w:val="32"/>
          <w:lang w:eastAsia="zh-CN"/>
        </w:rPr>
        <w:t>二○二</w:t>
      </w:r>
      <w:r>
        <w:rPr>
          <w:rFonts w:hint="eastAsia"/>
          <w:color w:val="000000"/>
          <w:szCs w:val="32"/>
          <w:lang w:eastAsia="zh-CN"/>
        </w:rPr>
        <w:t>四</w:t>
      </w:r>
      <w:r>
        <w:rPr>
          <w:color w:val="000000"/>
          <w:szCs w:val="32"/>
          <w:lang w:eastAsia="zh-CN"/>
        </w:rPr>
        <w:t>年</w:t>
      </w:r>
      <w:r>
        <w:rPr>
          <w:rFonts w:hint="eastAsia"/>
          <w:color w:val="000000"/>
          <w:szCs w:val="32"/>
          <w:lang w:eastAsia="zh-CN"/>
        </w:rPr>
        <w:t>六</w:t>
      </w:r>
      <w:r>
        <w:rPr>
          <w:color w:val="000000"/>
          <w:szCs w:val="32"/>
          <w:lang w:eastAsia="zh-CN"/>
        </w:rPr>
        <w:t>月</w:t>
      </w:r>
      <w:r>
        <w:rPr>
          <w:rFonts w:hint="eastAsia"/>
          <w:color w:val="000000"/>
          <w:szCs w:val="32"/>
          <w:lang w:eastAsia="zh-CN"/>
        </w:rPr>
        <w:t>五</w:t>
      </w:r>
      <w:r>
        <w:rPr>
          <w:color w:val="000000"/>
          <w:szCs w:val="32"/>
          <w:lang w:eastAsia="zh-CN"/>
        </w:rPr>
        <w:t>日</w:t>
      </w:r>
    </w:p>
    <w:p>
      <w:pPr>
        <w:spacing w:line="600" w:lineRule="exact"/>
        <w:rPr>
          <w:lang w:eastAsia="zh-CN"/>
        </w:rPr>
      </w:pPr>
    </w:p>
    <w:p>
      <w:pPr>
        <w:spacing w:line="600" w:lineRule="exact"/>
        <w:rPr>
          <w:lang w:eastAsia="zh-CN"/>
        </w:rPr>
        <w:sectPr>
          <w:footerReference r:id="rId3" w:type="default"/>
          <w:pgSz w:w="11910" w:h="16840"/>
          <w:pgMar w:top="1520" w:right="1540" w:bottom="1240" w:left="1580" w:header="0" w:footer="1056" w:gutter="0"/>
          <w:cols w:space="720" w:num="1"/>
        </w:sectPr>
      </w:pPr>
    </w:p>
    <w:p>
      <w:pPr>
        <w:pStyle w:val="5"/>
        <w:spacing w:before="64" w:after="26"/>
        <w:ind w:left="760"/>
        <w:rPr>
          <w:rFonts w:ascii="黑体" w:hAnsi="黑体" w:eastAsia="黑体"/>
          <w:sz w:val="28"/>
          <w:szCs w:val="28"/>
          <w:lang w:eastAsia="zh-CN"/>
        </w:rPr>
      </w:pPr>
      <w:bookmarkStart w:id="61" w:name="_bookmark33"/>
      <w:bookmarkEnd w:id="61"/>
      <w:r>
        <w:rPr>
          <w:rFonts w:hint="eastAsia" w:ascii="黑体" w:hAnsi="黑体" w:eastAsia="黑体"/>
          <w:sz w:val="28"/>
          <w:szCs w:val="28"/>
          <w:lang w:eastAsia="zh-CN"/>
        </w:rPr>
        <w:t>附件1、海南省商务厅“促消费活动消费券”项目支出绩效评价指标体系</w:t>
      </w:r>
    </w:p>
    <w:tbl>
      <w:tblPr>
        <w:tblStyle w:val="13"/>
        <w:tblW w:w="14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
        <w:gridCol w:w="1188"/>
        <w:gridCol w:w="1247"/>
        <w:gridCol w:w="685"/>
        <w:gridCol w:w="2434"/>
        <w:gridCol w:w="5103"/>
        <w:gridCol w:w="850"/>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blHeader/>
          <w:jc w:val="center"/>
        </w:trPr>
        <w:tc>
          <w:tcPr>
            <w:tcW w:w="95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一级</w:t>
            </w:r>
          </w:p>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指标</w:t>
            </w:r>
          </w:p>
        </w:tc>
        <w:tc>
          <w:tcPr>
            <w:tcW w:w="1188"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二级指标</w:t>
            </w:r>
          </w:p>
        </w:tc>
        <w:tc>
          <w:tcPr>
            <w:tcW w:w="1247"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三级指标</w:t>
            </w:r>
          </w:p>
        </w:tc>
        <w:tc>
          <w:tcPr>
            <w:tcW w:w="685"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权重</w:t>
            </w:r>
          </w:p>
        </w:tc>
        <w:tc>
          <w:tcPr>
            <w:tcW w:w="2434"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指标解释</w:t>
            </w:r>
          </w:p>
        </w:tc>
        <w:tc>
          <w:tcPr>
            <w:tcW w:w="5103"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指标说明</w:t>
            </w:r>
          </w:p>
        </w:tc>
        <w:tc>
          <w:tcPr>
            <w:tcW w:w="850"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得分</w:t>
            </w:r>
          </w:p>
        </w:tc>
        <w:tc>
          <w:tcPr>
            <w:tcW w:w="2268"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扣分说明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95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决策</w:t>
            </w:r>
          </w:p>
        </w:tc>
        <w:tc>
          <w:tcPr>
            <w:tcW w:w="118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项目立项</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立项依据</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充分性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项目立项是否符合法律法规、相关政策、发展规划以及部门职责，用以反映和考核项目立项依据情况。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①项目立项是否符合国家法律法规、国民经济发展规划和相关政策；</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②项目立项是否符合行业发展规划和政策要求；</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③项目立项是否与部门职责范围相符，属于部门履职所需；</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④项目是否属于公共财政支持范围，是否符合中央、地方事权支出责任划分原则；</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⑤项目是否与相关部门同类项目或部门内部相关项目重复。</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立项程序</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规范性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项目申请、设立过程是否符合相关要求，用以反映和考核项目立项的规范情况。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①项目是否按照规定的程序申请设立；</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②审批文件、材料是否符合相关要求；</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③事前是否已经过必要的可行性研究、专家论证、风险评估、绩效评估、集体决策。</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绩效目标</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绩效目标</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合理性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项目所设定的绩效目标是否依据充分，是否符合客观实际，用以反映和考核项目绩效目标与项目实施的相符情况。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（如未设定预算绩效目标，也可考核其他工作任务目标）</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①项目是否有绩效目标；</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②项目绩效目标与实际工作内容是否具有相关性；</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③项目预期产出效益和效果是否符合正常的业绩水平；</w:t>
            </w:r>
          </w:p>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④是否与预算确定的项目投资额或资金量相匹配。</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绩效目标未设定预期的产出效益和效果。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绩效指标</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明确性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依据绩效目标设定的绩效指标是否清晰、细化、可衡量等，用以反映和考核项目绩效目标的明细化情况。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①是否将项目绩效目标细化分解为具体的绩效指标；</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②是否通过清晰、可衡量的指标值予以体现；</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③是否与项目目标任务数或计划数相对应。</w:t>
            </w:r>
            <w:r>
              <w:rPr>
                <w:rFonts w:hint="eastAsia" w:ascii="宋体" w:hAnsi="宋体" w:eastAsia="宋体" w:cs="宋体"/>
                <w:color w:val="000000"/>
                <w:sz w:val="24"/>
                <w:szCs w:val="24"/>
                <w:lang w:eastAsia="zh-CN"/>
              </w:rPr>
              <w:br w:type="textWrapping"/>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1.5</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绩效指标设置太少、没有设置满意度指标的情况。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资金投入</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预算编制</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科学性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项目预算编制是否经过科学论证、有明确标准，资金额度与年度目标是否相适应，用以反映和考核项目预算编制的科学性、合理性情况。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①预算编制是否经过科学论证；</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②预算内容与项目内容是否匹配；</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③预算额度测算依据是否充分，是否按照标准编制；</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④预算确定的项目投资额或资金量是否与工作任务相匹配。</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资金分配</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合理性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项目预算资金分配是否有测算依据，与补助单位或地方实际是否相适应，用以反映和考核项目预算资金分配的科学性、合理性情况。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①预算资金分配依据是否充分；</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②资金分配额度是否合理，与项目单位或地方实际是否相适应。</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5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过程</w:t>
            </w:r>
          </w:p>
        </w:tc>
        <w:tc>
          <w:tcPr>
            <w:tcW w:w="118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资金管理</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资金到位率</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实际到位资金与预算资金的比率，用以反映和考核资金落实情况对项目实施的总体保障程度。</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资金到位率=（实际到位资金/预算资金）×100%。</w:t>
            </w:r>
          </w:p>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实际到位资金：一定时期（本年度或项目期）内落实到具体项目的资金。</w:t>
            </w:r>
          </w:p>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预算资金：一定时期（本年度或项目期）内预算安排到具体项目的资金。</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预算执行率</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项目预算资金是否按照计划执行，用以反映或考核项目预算执行情况。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预算执行率=（实际支出资金/实际到位资金）×100%。</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实际支出资金：一定时期（本年度或项目期）内项目实际拨付的资金。</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3.93</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预算执行率为</w:t>
            </w:r>
            <w:r>
              <w:rPr>
                <w:rFonts w:ascii="宋体" w:hAnsi="宋体" w:eastAsia="宋体" w:cs="宋体"/>
                <w:color w:val="000000"/>
                <w:sz w:val="24"/>
                <w:szCs w:val="24"/>
                <w:lang w:eastAsia="zh-CN"/>
              </w:rPr>
              <w:t>98.32%，得3.93分</w:t>
            </w:r>
            <w:r>
              <w:rPr>
                <w:rFonts w:hint="eastAsia" w:ascii="宋体" w:hAnsi="宋体" w:eastAsia="宋体" w:cs="宋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资金使用</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合规性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项目资金使用是否符合相关的财务管理制度规定，用以反映和考核项目资金的规范运行情况。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①是否符合国家财经法规和财务管理制度以及有关专项资金管理办法的规定；</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②资金的拨付是否有完整的审批程序和手续；</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③是否符合项目预算批复或合同规定的用途；</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④是否存在截留、挤占、挪用、虚列支出等情况。</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组织实施</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管理制度</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健全性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项目实施单位的财务和业务管理制度是否健全，用以反映和考核财务和业务管理制度对项目顺利实施的保障情况。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①是否已制定或具有相应的财务和业务管理制度；</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②财务和业务管理制度是否合法、合规、完整。</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1.5</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未就消费券发放活动设立的专门业务管理制度。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制度执行</w:t>
            </w:r>
          </w:p>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有效性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6</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项目实施是否符合相关管理规定，用以反映和考核相关管理制度的有效执行情况。</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评价要点：</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①是否遵守相关法律法规和相关管理规定；</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②项目调整及支出调整手续是否完备；</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③项目合同书、验收报告、技术鉴定等资料是否齐全并及时归档；</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④项目实施的人员条件、场地设备、信息支撑等是否落实到位。</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6</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5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产出</w:t>
            </w:r>
          </w:p>
        </w:tc>
        <w:tc>
          <w:tcPr>
            <w:tcW w:w="118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产出数量</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实际完成率</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12</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项目实施的实际产出数与计划产出数的比率，用以反映和考核项目产出数量目标的实现程度。</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实际完成率=（实际产出数/计划产出数）×100%。</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实际产出数：一定时期（本年度或项目期）内项目实际产出的产品或提供的服务数量。</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计划产出数：项目绩效目标确定的在一定时期（本年度或项目期）内计划产出的产品或提供的服务数量。</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11.80</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实际完成率</w:t>
            </w:r>
            <w:r>
              <w:rPr>
                <w:rFonts w:ascii="宋体" w:hAnsi="宋体" w:eastAsia="宋体" w:cs="宋体"/>
                <w:color w:val="000000"/>
                <w:sz w:val="24"/>
                <w:szCs w:val="24"/>
                <w:lang w:eastAsia="zh-CN"/>
              </w:rPr>
              <w:t>98.32%，得11.80分。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产出质量</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质量达标率</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项目完成的质量达标产出数与实际产出数的比率，用以反映和考核项目产出质量目标的实现程度。</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质量达标率=（质量达标产出数/实际产出数）×100%。</w:t>
            </w:r>
          </w:p>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57"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产出时效</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完成及时性</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8</w:t>
            </w:r>
          </w:p>
        </w:tc>
        <w:tc>
          <w:tcPr>
            <w:tcW w:w="2434"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项目实际完成时间与计划完成时间的比较，用以反映和考核项目产出时效目标的实现程度。</w:t>
            </w:r>
          </w:p>
        </w:tc>
        <w:tc>
          <w:tcPr>
            <w:tcW w:w="5103" w:type="dxa"/>
            <w:tcBorders>
              <w:top w:val="nil"/>
              <w:left w:val="nil"/>
              <w:bottom w:val="single" w:color="auto" w:sz="8" w:space="0"/>
              <w:right w:val="single" w:color="auto" w:sz="8" w:space="0"/>
            </w:tcBorders>
            <w:vAlign w:val="center"/>
          </w:tcPr>
          <w:p>
            <w:pPr>
              <w:widowControl/>
              <w:spacing w:line="0" w:lineRule="atLeas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实际完成时间：项目实施单位完成该项目实际所耗用的时间。</w:t>
            </w:r>
            <w:r>
              <w:rPr>
                <w:rFonts w:hint="eastAsia" w:ascii="宋体" w:hAnsi="宋体" w:eastAsia="宋体" w:cs="宋体"/>
                <w:color w:val="000000"/>
                <w:sz w:val="24"/>
                <w:szCs w:val="24"/>
                <w:lang w:eastAsia="zh-CN"/>
              </w:rPr>
              <w:br w:type="textWrapping"/>
            </w:r>
            <w:r>
              <w:rPr>
                <w:rFonts w:hint="eastAsia" w:ascii="宋体" w:hAnsi="宋体" w:eastAsia="宋体" w:cs="宋体"/>
                <w:color w:val="000000"/>
                <w:sz w:val="24"/>
                <w:szCs w:val="24"/>
                <w:lang w:eastAsia="zh-CN"/>
              </w:rPr>
              <w:t>计划完成时间：按照项目实施计划或相关规定完成该项目所需的时间。</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8</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957" w:type="dxa"/>
            <w:vMerge w:val="restart"/>
            <w:tcBorders>
              <w:top w:val="nil"/>
              <w:left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效益</w:t>
            </w:r>
          </w:p>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c>
          <w:tcPr>
            <w:tcW w:w="1188" w:type="dxa"/>
            <w:vMerge w:val="restart"/>
            <w:tcBorders>
              <w:top w:val="nil"/>
              <w:left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项目效益</w:t>
            </w:r>
          </w:p>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社会效益</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ascii="宋体" w:hAnsi="宋体" w:eastAsia="宋体" w:cs="宋体"/>
                <w:color w:val="000000"/>
                <w:sz w:val="24"/>
                <w:szCs w:val="24"/>
                <w:lang w:eastAsia="zh-CN"/>
              </w:rPr>
              <w:t>10</w:t>
            </w:r>
          </w:p>
        </w:tc>
        <w:tc>
          <w:tcPr>
            <w:tcW w:w="2434"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项目实施所产生的效益。</w:t>
            </w:r>
          </w:p>
        </w:tc>
        <w:tc>
          <w:tcPr>
            <w:tcW w:w="5103"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项目实施所产生的社会效益。</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9</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957" w:type="dxa"/>
            <w:vMerge w:val="continue"/>
            <w:tcBorders>
              <w:left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left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经济效益</w:t>
            </w:r>
          </w:p>
        </w:tc>
        <w:tc>
          <w:tcPr>
            <w:tcW w:w="685"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p>
        </w:tc>
        <w:tc>
          <w:tcPr>
            <w:tcW w:w="2434"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项目实施所产生的效益。</w:t>
            </w:r>
          </w:p>
        </w:tc>
        <w:tc>
          <w:tcPr>
            <w:tcW w:w="5103"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项目实施所产生的经济效益。</w:t>
            </w:r>
          </w:p>
        </w:tc>
        <w:tc>
          <w:tcPr>
            <w:tcW w:w="850" w:type="dxa"/>
            <w:tcBorders>
              <w:top w:val="nil"/>
              <w:left w:val="nil"/>
              <w:bottom w:val="single" w:color="auto" w:sz="8"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p>
        </w:tc>
        <w:tc>
          <w:tcPr>
            <w:tcW w:w="2268" w:type="dxa"/>
            <w:tcBorders>
              <w:top w:val="nil"/>
              <w:left w:val="nil"/>
              <w:bottom w:val="single" w:color="auto" w:sz="8" w:space="0"/>
              <w:right w:val="single" w:color="auto" w:sz="8" w:space="0"/>
            </w:tcBorders>
            <w:vAlign w:val="center"/>
          </w:tcPr>
          <w:p>
            <w:pPr>
              <w:widowControl/>
              <w:rPr>
                <w:rFonts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vMerge w:val="continue"/>
            <w:tcBorders>
              <w:left w:val="single" w:color="auto" w:sz="8" w:space="0"/>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left w:val="single" w:color="auto" w:sz="8" w:space="0"/>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可持续影响</w:t>
            </w:r>
          </w:p>
        </w:tc>
        <w:tc>
          <w:tcPr>
            <w:tcW w:w="685"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6</w:t>
            </w:r>
          </w:p>
        </w:tc>
        <w:tc>
          <w:tcPr>
            <w:tcW w:w="2434" w:type="dxa"/>
            <w:tcBorders>
              <w:top w:val="nil"/>
              <w:left w:val="nil"/>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项目所产生的可持续影响</w:t>
            </w:r>
          </w:p>
        </w:tc>
        <w:tc>
          <w:tcPr>
            <w:tcW w:w="5103" w:type="dxa"/>
            <w:tcBorders>
              <w:top w:val="nil"/>
              <w:left w:val="nil"/>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项目所产生的可持续长期影响。</w:t>
            </w:r>
          </w:p>
        </w:tc>
        <w:tc>
          <w:tcPr>
            <w:tcW w:w="850"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5</w:t>
            </w:r>
          </w:p>
        </w:tc>
        <w:tc>
          <w:tcPr>
            <w:tcW w:w="2268" w:type="dxa"/>
            <w:tcBorders>
              <w:top w:val="nil"/>
              <w:left w:val="nil"/>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没有专项业务管理制度，对项目可持续有一定影响。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vMerge w:val="continue"/>
            <w:tcBorders>
              <w:left w:val="single" w:color="auto" w:sz="8" w:space="0"/>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p>
        </w:tc>
        <w:tc>
          <w:tcPr>
            <w:tcW w:w="1188" w:type="dxa"/>
            <w:vMerge w:val="continue"/>
            <w:tcBorders>
              <w:left w:val="single" w:color="auto" w:sz="8" w:space="0"/>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p>
        </w:tc>
        <w:tc>
          <w:tcPr>
            <w:tcW w:w="1247"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满意度</w:t>
            </w:r>
          </w:p>
        </w:tc>
        <w:tc>
          <w:tcPr>
            <w:tcW w:w="685"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p>
        </w:tc>
        <w:tc>
          <w:tcPr>
            <w:tcW w:w="2434" w:type="dxa"/>
            <w:tcBorders>
              <w:top w:val="nil"/>
              <w:left w:val="nil"/>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社会公众或服务对象对项目实施效果的满意程度。</w:t>
            </w:r>
          </w:p>
        </w:tc>
        <w:tc>
          <w:tcPr>
            <w:tcW w:w="5103" w:type="dxa"/>
            <w:tcBorders>
              <w:top w:val="nil"/>
              <w:left w:val="nil"/>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r>
              <w:rPr>
                <w:rFonts w:ascii="宋体" w:hAnsi="宋体" w:eastAsia="宋体" w:cs="宋体"/>
                <w:color w:val="000000"/>
                <w:sz w:val="24"/>
                <w:szCs w:val="24"/>
                <w:lang w:eastAsia="zh-CN"/>
              </w:rPr>
              <w:t>社会公众或服务对象是指因本项目实施而受到影响的部门（单位）、群体或个人。一般采取社会调查的方式。</w:t>
            </w:r>
          </w:p>
        </w:tc>
        <w:tc>
          <w:tcPr>
            <w:tcW w:w="850"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3.76</w:t>
            </w:r>
          </w:p>
        </w:tc>
        <w:tc>
          <w:tcPr>
            <w:tcW w:w="2268" w:type="dxa"/>
            <w:tcBorders>
              <w:top w:val="nil"/>
              <w:left w:val="nil"/>
              <w:bottom w:val="single" w:color="auto" w:sz="4" w:space="0"/>
              <w:right w:val="single" w:color="auto" w:sz="8" w:space="0"/>
            </w:tcBorders>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综合满意度得分</w:t>
            </w:r>
            <w:r>
              <w:rPr>
                <w:rFonts w:ascii="宋体" w:hAnsi="宋体" w:eastAsia="宋体" w:cs="宋体"/>
                <w:color w:val="000000"/>
                <w:sz w:val="24"/>
                <w:szCs w:val="24"/>
                <w:lang w:eastAsia="zh-CN"/>
              </w:rPr>
              <w:t>94分，得3.76分。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sz w:val="24"/>
                <w:szCs w:val="24"/>
                <w:lang w:eastAsia="zh-CN"/>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sz w:val="24"/>
                <w:szCs w:val="24"/>
                <w:lang w:eastAsia="zh-CN"/>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合计</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sz w:val="24"/>
                <w:szCs w:val="24"/>
                <w:lang w:eastAsia="zh-CN"/>
              </w:rPr>
            </w:pPr>
            <w:r>
              <w:rPr>
                <w:rFonts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=SUM(ABOVE)</w:instrText>
            </w:r>
            <w:r>
              <w:rPr>
                <w:rFonts w:ascii="宋体" w:hAnsi="宋体" w:eastAsia="宋体" w:cs="宋体"/>
                <w:color w:val="000000"/>
                <w:sz w:val="24"/>
                <w:szCs w:val="24"/>
                <w:lang w:eastAsia="zh-CN"/>
              </w:rPr>
              <w:fldChar w:fldCharType="separate"/>
            </w:r>
            <w:r>
              <w:rPr>
                <w:rFonts w:ascii="宋体" w:hAnsi="宋体" w:eastAsia="宋体" w:cs="宋体"/>
                <w:color w:val="000000"/>
                <w:sz w:val="24"/>
                <w:szCs w:val="24"/>
                <w:lang w:eastAsia="zh-CN"/>
              </w:rPr>
              <w:t>100</w:t>
            </w:r>
            <w:r>
              <w:rPr>
                <w:rFonts w:ascii="宋体" w:hAnsi="宋体" w:eastAsia="宋体" w:cs="宋体"/>
                <w:color w:val="000000"/>
                <w:sz w:val="24"/>
                <w:szCs w:val="24"/>
                <w:lang w:eastAsia="zh-CN"/>
              </w:rPr>
              <w:fldChar w:fldCharType="end"/>
            </w:r>
          </w:p>
        </w:tc>
        <w:tc>
          <w:tcPr>
            <w:tcW w:w="24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sz w:val="24"/>
                <w:szCs w:val="24"/>
                <w:lang w:eastAsia="zh-CN"/>
              </w:rPr>
            </w:pPr>
          </w:p>
        </w:tc>
        <w:tc>
          <w:tcPr>
            <w:tcW w:w="510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sz w:val="24"/>
                <w:szCs w:val="24"/>
                <w:lang w:eastAsia="zh-CN"/>
              </w:rPr>
            </w:pPr>
            <w:r>
              <w:rPr>
                <w:rFonts w:ascii="宋体" w:hAnsi="宋体" w:eastAsia="宋体" w:cs="宋体"/>
                <w:color w:val="000000"/>
                <w:sz w:val="24"/>
                <w:szCs w:val="24"/>
                <w:lang w:eastAsia="zh-CN"/>
              </w:rPr>
              <w:fldChar w:fldCharType="begin"/>
            </w:r>
            <w:r>
              <w:rPr>
                <w:rFonts w:ascii="宋体" w:hAnsi="宋体" w:eastAsia="宋体" w:cs="宋体"/>
                <w:color w:val="000000"/>
                <w:sz w:val="24"/>
                <w:szCs w:val="24"/>
                <w:lang w:eastAsia="zh-CN"/>
              </w:rPr>
              <w:instrText xml:space="preserve"> =SUM(ABOVE) </w:instrText>
            </w:r>
            <w:r>
              <w:rPr>
                <w:rFonts w:ascii="宋体" w:hAnsi="宋体" w:eastAsia="宋体" w:cs="宋体"/>
                <w:color w:val="000000"/>
                <w:sz w:val="24"/>
                <w:szCs w:val="24"/>
                <w:lang w:eastAsia="zh-CN"/>
              </w:rPr>
              <w:fldChar w:fldCharType="separate"/>
            </w:r>
            <w:r>
              <w:rPr>
                <w:rFonts w:ascii="宋体" w:hAnsi="宋体" w:eastAsia="宋体" w:cs="宋体"/>
                <w:color w:val="000000"/>
                <w:sz w:val="24"/>
                <w:szCs w:val="24"/>
                <w:lang w:eastAsia="zh-CN"/>
              </w:rPr>
              <w:t>93.49</w:t>
            </w:r>
            <w:r>
              <w:rPr>
                <w:rFonts w:ascii="宋体" w:hAnsi="宋体" w:eastAsia="宋体" w:cs="宋体"/>
                <w:color w:val="000000"/>
                <w:sz w:val="24"/>
                <w:szCs w:val="24"/>
                <w:lang w:eastAsia="zh-CN"/>
              </w:rPr>
              <w:fldChar w:fldCharType="end"/>
            </w: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sz w:val="24"/>
                <w:szCs w:val="24"/>
                <w:lang w:eastAsia="zh-CN"/>
              </w:rPr>
            </w:pPr>
          </w:p>
        </w:tc>
      </w:tr>
    </w:tbl>
    <w:p>
      <w:pPr>
        <w:pStyle w:val="5"/>
        <w:spacing w:before="64" w:after="26"/>
        <w:ind w:left="760"/>
        <w:rPr>
          <w:rFonts w:ascii="宋体"/>
          <w:b/>
          <w:sz w:val="20"/>
          <w:lang w:eastAsia="zh-CN"/>
        </w:rPr>
      </w:pPr>
    </w:p>
    <w:sectPr>
      <w:footerReference r:id="rId4" w:type="default"/>
      <w:pgSz w:w="16838" w:h="11906" w:orient="landscape"/>
      <w:pgMar w:top="720" w:right="720" w:bottom="720" w:left="72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auto"/>
    <w:pitch w:val="default"/>
    <w:sig w:usb0="00000000" w:usb1="00000000" w:usb2="00000000" w:usb3="00000000" w:csb0="2000019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rFonts w:ascii="仿宋" w:hAnsi="仿宋" w:eastAsia="仿宋" w:cs="仿宋"/>
        <w:sz w:val="32"/>
        <w:szCs w:val="32"/>
        <w:lang w:val="en-US" w:eastAsia="zh-CN" w:bidi="ar-SA"/>
      </w:rPr>
      <w:pict>
        <v:shape id="Quad Arrow 1" o:spid="_x0000_s2049" o:spt="202" type="#_x0000_t202" style="position:absolute;left:0pt;margin-left:300.15pt;margin-top:778.1pt;height:12pt;width:13.1pt;mso-position-horizontal-relative:page;mso-position-vertical-relative:pag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22</w:t>
    </w:r>
    <w:r>
      <w:rPr>
        <w:lang w:val="zh-CN" w:eastAsia="zh-CN"/>
      </w:rPr>
      <w:fldChar w:fldCharType="end"/>
    </w:r>
  </w:p>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72205"/>
    <w:multiLevelType w:val="multilevel"/>
    <w:tmpl w:val="17572205"/>
    <w:lvl w:ilvl="0" w:tentative="0">
      <w:start w:val="1"/>
      <w:numFmt w:val="decimal"/>
      <w:lvlText w:val="%1."/>
      <w:lvlJc w:val="left"/>
      <w:pPr>
        <w:ind w:left="348" w:hanging="241"/>
      </w:pPr>
      <w:rPr>
        <w:rFonts w:hint="default" w:ascii="仿宋" w:hAnsi="仿宋" w:eastAsia="仿宋" w:cs="仿宋"/>
        <w:w w:val="100"/>
        <w:sz w:val="22"/>
        <w:szCs w:val="22"/>
      </w:rPr>
    </w:lvl>
    <w:lvl w:ilvl="1" w:tentative="0">
      <w:start w:val="0"/>
      <w:numFmt w:val="bullet"/>
      <w:lvlText w:val="•"/>
      <w:lvlJc w:val="left"/>
      <w:pPr>
        <w:ind w:left="976" w:hanging="241"/>
      </w:pPr>
      <w:rPr>
        <w:rFonts w:hint="default"/>
      </w:rPr>
    </w:lvl>
    <w:lvl w:ilvl="2" w:tentative="0">
      <w:start w:val="0"/>
      <w:numFmt w:val="bullet"/>
      <w:lvlText w:val="•"/>
      <w:lvlJc w:val="left"/>
      <w:pPr>
        <w:ind w:left="1613" w:hanging="241"/>
      </w:pPr>
      <w:rPr>
        <w:rFonts w:hint="default"/>
      </w:rPr>
    </w:lvl>
    <w:lvl w:ilvl="3" w:tentative="0">
      <w:start w:val="0"/>
      <w:numFmt w:val="bullet"/>
      <w:lvlText w:val="•"/>
      <w:lvlJc w:val="left"/>
      <w:pPr>
        <w:ind w:left="2249" w:hanging="241"/>
      </w:pPr>
      <w:rPr>
        <w:rFonts w:hint="default"/>
      </w:rPr>
    </w:lvl>
    <w:lvl w:ilvl="4" w:tentative="0">
      <w:start w:val="0"/>
      <w:numFmt w:val="bullet"/>
      <w:lvlText w:val="•"/>
      <w:lvlJc w:val="left"/>
      <w:pPr>
        <w:ind w:left="2886" w:hanging="241"/>
      </w:pPr>
      <w:rPr>
        <w:rFonts w:hint="default"/>
      </w:rPr>
    </w:lvl>
    <w:lvl w:ilvl="5" w:tentative="0">
      <w:start w:val="0"/>
      <w:numFmt w:val="bullet"/>
      <w:lvlText w:val="•"/>
      <w:lvlJc w:val="left"/>
      <w:pPr>
        <w:ind w:left="3522" w:hanging="241"/>
      </w:pPr>
      <w:rPr>
        <w:rFonts w:hint="default"/>
      </w:rPr>
    </w:lvl>
    <w:lvl w:ilvl="6" w:tentative="0">
      <w:start w:val="0"/>
      <w:numFmt w:val="bullet"/>
      <w:lvlText w:val="•"/>
      <w:lvlJc w:val="left"/>
      <w:pPr>
        <w:ind w:left="4159" w:hanging="241"/>
      </w:pPr>
      <w:rPr>
        <w:rFonts w:hint="default"/>
      </w:rPr>
    </w:lvl>
    <w:lvl w:ilvl="7" w:tentative="0">
      <w:start w:val="0"/>
      <w:numFmt w:val="bullet"/>
      <w:lvlText w:val="•"/>
      <w:lvlJc w:val="left"/>
      <w:pPr>
        <w:ind w:left="4795" w:hanging="241"/>
      </w:pPr>
      <w:rPr>
        <w:rFonts w:hint="default"/>
      </w:rPr>
    </w:lvl>
    <w:lvl w:ilvl="8" w:tentative="0">
      <w:start w:val="0"/>
      <w:numFmt w:val="bullet"/>
      <w:lvlText w:val="•"/>
      <w:lvlJc w:val="left"/>
      <w:pPr>
        <w:ind w:left="5432" w:hanging="2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drawingGridHorizontalSpacing w:val="0"/>
  <w:drawingGridVerticalSpacing w:val="290"/>
  <w:displayHorizontalDrawingGridEvery w:val="2"/>
  <w:displayVerticalDrawingGridEvery w:val="2"/>
  <w:characterSpacingControl w:val="doNotCompress"/>
  <w:hdrShapeDefaults>
    <o:shapelayout v:ext="edit">
      <o:idmap v:ext="edit" data="2"/>
    </o:shapelayout>
  </w:hdrShapeDefaults>
  <w:compat>
    <w:spaceForUL/>
    <w:doNotLeaveBackslashAlone/>
    <w:ulTrailSpac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E7DECE6A"/>
    <w:rsid w:val="F6DF7E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32"/>
      <w:szCs w:val="22"/>
      <w:lang w:val="en-US" w:eastAsia="en-US"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宋体" w:cs="黑体"/>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semiHidden/>
    <w:unhideWhenUsed/>
    <w:qFormat/>
    <w:uiPriority w:val="99"/>
  </w:style>
  <w:style w:type="paragraph" w:styleId="5">
    <w:name w:val="Body Text"/>
    <w:basedOn w:val="1"/>
    <w:qFormat/>
    <w:uiPriority w:val="1"/>
    <w:rPr>
      <w:szCs w:val="32"/>
    </w:rPr>
  </w:style>
  <w:style w:type="paragraph" w:styleId="6">
    <w:name w:val="toc 3"/>
    <w:basedOn w:val="1"/>
    <w:next w:val="1"/>
    <w:semiHidden/>
    <w:unhideWhenUsed/>
    <w:qFormat/>
    <w:uiPriority w:val="39"/>
    <w:pPr>
      <w:widowControl/>
      <w:spacing w:after="100" w:line="276" w:lineRule="auto"/>
      <w:ind w:left="440"/>
    </w:pPr>
    <w:rPr>
      <w:rFonts w:ascii="Calibri" w:hAnsi="Calibri" w:eastAsia="宋体" w:cs="黑体"/>
      <w:lang w:eastAsia="zh-CN"/>
    </w:rPr>
  </w:style>
  <w:style w:type="paragraph" w:styleId="7">
    <w:name w:val="Balloon Text"/>
    <w:basedOn w:val="1"/>
    <w:link w:val="32"/>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pPr>
    <w:rPr>
      <w:rFonts w:ascii="Calibri" w:hAnsi="Calibri" w:eastAsia="宋体" w:cs="黑体"/>
      <w:lang w:eastAsia="zh-CN"/>
    </w:rPr>
  </w:style>
  <w:style w:type="paragraph" w:styleId="11">
    <w:name w:val="toc 2"/>
    <w:basedOn w:val="1"/>
    <w:next w:val="1"/>
    <w:unhideWhenUsed/>
    <w:qFormat/>
    <w:uiPriority w:val="39"/>
    <w:pPr>
      <w:widowControl/>
      <w:spacing w:after="100" w:line="276" w:lineRule="auto"/>
      <w:ind w:left="220"/>
    </w:pPr>
    <w:rPr>
      <w:rFonts w:ascii="Calibri" w:hAnsi="Calibri" w:eastAsia="宋体" w:cs="黑体"/>
      <w:lang w:eastAsia="zh-CN"/>
    </w:rPr>
  </w:style>
  <w:style w:type="paragraph" w:styleId="12">
    <w:name w:val="annotation subject"/>
    <w:basedOn w:val="4"/>
    <w:next w:val="4"/>
    <w:link w:val="36"/>
    <w:semiHidden/>
    <w:unhideWhenUsed/>
    <w:qFormat/>
    <w:uiPriority w:val="99"/>
    <w:rPr>
      <w:b/>
      <w:bCs/>
    </w:r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TOC 11"/>
    <w:basedOn w:val="1"/>
    <w:qFormat/>
    <w:uiPriority w:val="1"/>
    <w:pPr>
      <w:spacing w:before="332"/>
      <w:ind w:left="220"/>
    </w:pPr>
    <w:rPr>
      <w:sz w:val="28"/>
      <w:szCs w:val="28"/>
    </w:rPr>
  </w:style>
  <w:style w:type="paragraph" w:customStyle="1" w:styleId="18">
    <w:name w:val="TOC 21"/>
    <w:basedOn w:val="1"/>
    <w:qFormat/>
    <w:uiPriority w:val="1"/>
    <w:pPr>
      <w:spacing w:before="222"/>
      <w:ind w:left="788"/>
    </w:pPr>
    <w:rPr>
      <w:sz w:val="28"/>
      <w:szCs w:val="28"/>
    </w:rPr>
  </w:style>
  <w:style w:type="paragraph" w:customStyle="1" w:styleId="19">
    <w:name w:val="TOC 31"/>
    <w:basedOn w:val="1"/>
    <w:qFormat/>
    <w:uiPriority w:val="1"/>
    <w:pPr>
      <w:spacing w:before="238"/>
      <w:ind w:left="884"/>
    </w:pPr>
    <w:rPr>
      <w:rFonts w:ascii="Times New Roman" w:hAnsi="Times New Roman" w:eastAsia="Times New Roman" w:cs="Times New Roman"/>
      <w:sz w:val="28"/>
      <w:szCs w:val="28"/>
    </w:rPr>
  </w:style>
  <w:style w:type="paragraph" w:customStyle="1" w:styleId="20">
    <w:name w:val="标题 11"/>
    <w:basedOn w:val="1"/>
    <w:qFormat/>
    <w:uiPriority w:val="1"/>
    <w:pPr>
      <w:spacing w:before="1"/>
      <w:ind w:left="1176" w:right="452" w:hanging="1762"/>
      <w:outlineLvl w:val="1"/>
    </w:pPr>
    <w:rPr>
      <w:rFonts w:ascii="黑体" w:hAnsi="黑体" w:eastAsia="黑体" w:cs="黑体"/>
      <w:sz w:val="44"/>
      <w:szCs w:val="44"/>
    </w:rPr>
  </w:style>
  <w:style w:type="paragraph" w:customStyle="1" w:styleId="21">
    <w:name w:val="标题 21"/>
    <w:basedOn w:val="1"/>
    <w:qFormat/>
    <w:uiPriority w:val="1"/>
    <w:pPr>
      <w:spacing w:before="50"/>
      <w:ind w:left="2024"/>
      <w:outlineLvl w:val="2"/>
    </w:pPr>
    <w:rPr>
      <w:b/>
      <w:bCs/>
      <w:sz w:val="36"/>
      <w:szCs w:val="36"/>
    </w:rPr>
  </w:style>
  <w:style w:type="paragraph" w:customStyle="1" w:styleId="22">
    <w:name w:val="标题 31"/>
    <w:basedOn w:val="1"/>
    <w:qFormat/>
    <w:uiPriority w:val="1"/>
    <w:pPr>
      <w:spacing w:before="26"/>
      <w:ind w:right="41"/>
      <w:jc w:val="center"/>
      <w:outlineLvl w:val="3"/>
    </w:pPr>
    <w:rPr>
      <w:rFonts w:ascii="黑体" w:hAnsi="黑体" w:eastAsia="黑体" w:cs="黑体"/>
      <w:sz w:val="36"/>
      <w:szCs w:val="36"/>
    </w:rPr>
  </w:style>
  <w:style w:type="paragraph" w:customStyle="1" w:styleId="23">
    <w:name w:val="标题 41"/>
    <w:basedOn w:val="1"/>
    <w:qFormat/>
    <w:uiPriority w:val="1"/>
    <w:pPr>
      <w:ind w:left="860"/>
      <w:outlineLvl w:val="4"/>
    </w:pPr>
    <w:rPr>
      <w:rFonts w:ascii="楷体" w:hAnsi="楷体" w:eastAsia="楷体" w:cs="楷体"/>
      <w:b/>
      <w:bCs/>
      <w:szCs w:val="32"/>
    </w:rPr>
  </w:style>
  <w:style w:type="paragraph" w:customStyle="1" w:styleId="24">
    <w:name w:val="列出段落1"/>
    <w:basedOn w:val="1"/>
    <w:qFormat/>
    <w:uiPriority w:val="1"/>
    <w:pPr>
      <w:ind w:left="1182" w:hanging="322"/>
    </w:pPr>
  </w:style>
  <w:style w:type="paragraph" w:customStyle="1" w:styleId="25">
    <w:name w:val="Table Paragraph"/>
    <w:basedOn w:val="1"/>
    <w:qFormat/>
    <w:uiPriority w:val="1"/>
  </w:style>
  <w:style w:type="paragraph" w:customStyle="1" w:styleId="26">
    <w:name w:val="标题 12"/>
    <w:basedOn w:val="1"/>
    <w:qFormat/>
    <w:uiPriority w:val="1"/>
    <w:pPr>
      <w:spacing w:before="1"/>
      <w:ind w:left="1176" w:right="452" w:hanging="1762"/>
      <w:outlineLvl w:val="1"/>
    </w:pPr>
    <w:rPr>
      <w:rFonts w:ascii="黑体" w:hAnsi="黑体" w:eastAsia="黑体" w:cs="黑体"/>
      <w:sz w:val="44"/>
      <w:szCs w:val="44"/>
    </w:rPr>
  </w:style>
  <w:style w:type="paragraph" w:customStyle="1" w:styleId="27">
    <w:name w:val="标题 42"/>
    <w:basedOn w:val="1"/>
    <w:qFormat/>
    <w:uiPriority w:val="1"/>
    <w:pPr>
      <w:ind w:left="860"/>
      <w:outlineLvl w:val="4"/>
    </w:pPr>
    <w:rPr>
      <w:rFonts w:ascii="楷体" w:hAnsi="楷体" w:eastAsia="楷体" w:cs="楷体"/>
      <w:b/>
      <w:bCs/>
      <w:szCs w:val="32"/>
    </w:rPr>
  </w:style>
  <w:style w:type="paragraph" w:customStyle="1" w:styleId="28">
    <w:name w:val="TOC 标题1"/>
    <w:basedOn w:val="2"/>
    <w:next w:val="1"/>
    <w:unhideWhenUsed/>
    <w:qFormat/>
    <w:uiPriority w:val="39"/>
    <w:pPr>
      <w:widowControl/>
      <w:spacing w:before="480" w:after="0" w:line="276" w:lineRule="auto"/>
      <w:outlineLvl w:val="9"/>
    </w:pPr>
    <w:rPr>
      <w:rFonts w:ascii="Cambria" w:hAnsi="Cambria" w:eastAsia="宋体" w:cs="黑体"/>
      <w:color w:val="365F90"/>
      <w:kern w:val="0"/>
      <w:sz w:val="28"/>
      <w:szCs w:val="28"/>
      <w:lang w:eastAsia="zh-CN"/>
    </w:rPr>
  </w:style>
  <w:style w:type="paragraph" w:customStyle="1" w:styleId="29">
    <w:name w:val="标题 43"/>
    <w:basedOn w:val="1"/>
    <w:qFormat/>
    <w:uiPriority w:val="1"/>
    <w:pPr>
      <w:ind w:left="860"/>
      <w:outlineLvl w:val="4"/>
    </w:pPr>
    <w:rPr>
      <w:rFonts w:ascii="楷体" w:hAnsi="楷体" w:eastAsia="楷体" w:cs="楷体"/>
      <w:b/>
      <w:bCs/>
      <w:szCs w:val="32"/>
    </w:rPr>
  </w:style>
  <w:style w:type="character" w:customStyle="1" w:styleId="30">
    <w:name w:val="页眉 Char"/>
    <w:basedOn w:val="14"/>
    <w:link w:val="9"/>
    <w:qFormat/>
    <w:uiPriority w:val="99"/>
    <w:rPr>
      <w:rFonts w:ascii="仿宋" w:hAnsi="仿宋" w:eastAsia="仿宋" w:cs="仿宋"/>
      <w:sz w:val="18"/>
      <w:szCs w:val="18"/>
    </w:rPr>
  </w:style>
  <w:style w:type="character" w:customStyle="1" w:styleId="31">
    <w:name w:val="页脚 Char"/>
    <w:basedOn w:val="14"/>
    <w:link w:val="8"/>
    <w:qFormat/>
    <w:uiPriority w:val="99"/>
    <w:rPr>
      <w:rFonts w:ascii="仿宋" w:hAnsi="仿宋" w:eastAsia="仿宋" w:cs="仿宋"/>
      <w:sz w:val="18"/>
      <w:szCs w:val="18"/>
    </w:rPr>
  </w:style>
  <w:style w:type="character" w:customStyle="1" w:styleId="32">
    <w:name w:val="批注框文本 Char"/>
    <w:basedOn w:val="14"/>
    <w:link w:val="7"/>
    <w:semiHidden/>
    <w:qFormat/>
    <w:uiPriority w:val="99"/>
    <w:rPr>
      <w:rFonts w:ascii="仿宋" w:hAnsi="仿宋" w:eastAsia="仿宋" w:cs="仿宋"/>
      <w:sz w:val="18"/>
      <w:szCs w:val="18"/>
    </w:rPr>
  </w:style>
  <w:style w:type="character" w:customStyle="1" w:styleId="33">
    <w:name w:val="标题 1 Char"/>
    <w:basedOn w:val="14"/>
    <w:link w:val="2"/>
    <w:qFormat/>
    <w:uiPriority w:val="9"/>
    <w:rPr>
      <w:rFonts w:ascii="仿宋" w:hAnsi="仿宋" w:eastAsia="黑体" w:cs="仿宋"/>
      <w:b/>
      <w:bCs/>
      <w:kern w:val="44"/>
      <w:sz w:val="32"/>
      <w:szCs w:val="44"/>
    </w:rPr>
  </w:style>
  <w:style w:type="character" w:customStyle="1" w:styleId="34">
    <w:name w:val="标题 2 Char"/>
    <w:basedOn w:val="14"/>
    <w:link w:val="3"/>
    <w:qFormat/>
    <w:uiPriority w:val="9"/>
    <w:rPr>
      <w:rFonts w:ascii="Cambria" w:hAnsi="Cambria" w:eastAsia="宋体" w:cs="黑体"/>
      <w:b/>
      <w:bCs/>
      <w:sz w:val="32"/>
      <w:szCs w:val="32"/>
    </w:rPr>
  </w:style>
  <w:style w:type="character" w:customStyle="1" w:styleId="35">
    <w:name w:val="批注文字 Char"/>
    <w:basedOn w:val="14"/>
    <w:link w:val="4"/>
    <w:semiHidden/>
    <w:qFormat/>
    <w:uiPriority w:val="99"/>
    <w:rPr>
      <w:rFonts w:ascii="仿宋" w:hAnsi="仿宋" w:eastAsia="仿宋" w:cs="仿宋"/>
    </w:rPr>
  </w:style>
  <w:style w:type="character" w:customStyle="1" w:styleId="36">
    <w:name w:val="批注主题 Char"/>
    <w:basedOn w:val="35"/>
    <w:link w:val="12"/>
    <w:semiHidden/>
    <w:qFormat/>
    <w:uiPriority w:val="99"/>
    <w:rPr>
      <w:rFonts w:ascii="仿宋" w:hAnsi="仿宋" w:eastAsia="仿宋" w:cs="仿宋"/>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2050</Words>
  <Characters>11686</Characters>
  <Lines>97</Lines>
  <Paragraphs>27</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2023-07-28T01:14:00Z</dcterms:created>
  <dc:creator>HP</dc:creator>
  <cp:lastModifiedBy>uos</cp:lastModifiedBy>
  <dcterms:modified xsi:type="dcterms:W3CDTF">2024-09-04T21:44:27Z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2023-06-12T00:00:00Z</vt:filetime>
  </property>
  <property fmtid="{D5CDD505-2E9C-101B-9397-08002B2CF9AE}" pid="3" name="KSOProductBuildVer">
    <vt:lpwstr>2052-11.8.2.10125</vt:lpwstr>
  </property>
</Properties>
</file>