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67236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2024年中央服务业发展资金</w:t>
      </w:r>
    </w:p>
    <w:p w14:paraId="3CE0F12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绩效自评报告</w:t>
      </w:r>
    </w:p>
    <w:p w14:paraId="5F4ACCD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p>
    <w:p w14:paraId="6181E9DB">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640" w:leftChars="0" w:firstLine="0" w:firstLineChars="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绩效目标分解下达情况</w:t>
      </w:r>
    </w:p>
    <w:p w14:paraId="7D28507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w:t>
      </w:r>
      <w:r>
        <w:rPr>
          <w:rFonts w:hint="default" w:ascii="仿宋_GB2312" w:hAnsi="仿宋_GB2312" w:eastAsia="仿宋_GB2312" w:cs="仿宋_GB2312"/>
          <w:sz w:val="32"/>
          <w:szCs w:val="32"/>
          <w:lang w:val="en-US"/>
        </w:rPr>
        <w:t>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我省使用</w:t>
      </w:r>
      <w:r>
        <w:rPr>
          <w:rFonts w:hint="eastAsia" w:ascii="仿宋_GB2312" w:hAnsi="仿宋_GB2312" w:eastAsia="仿宋_GB2312" w:cs="仿宋_GB2312"/>
          <w:sz w:val="32"/>
          <w:szCs w:val="32"/>
        </w:rPr>
        <w:t>中央服务业发展资金</w:t>
      </w:r>
      <w:r>
        <w:rPr>
          <w:rFonts w:hint="eastAsia" w:ascii="仿宋_GB2312" w:hAnsi="仿宋_GB2312" w:eastAsia="仿宋_GB2312" w:cs="仿宋_GB2312"/>
          <w:sz w:val="32"/>
          <w:szCs w:val="32"/>
          <w:lang w:val="en-US" w:eastAsia="zh-CN"/>
        </w:rPr>
        <w:t>6675万元</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支持县域商业建设行动。其中区域绩效目标：1.在县域商业体系建设、农村消费促进、农村商贸流通企业数字化转型等领域培育一批各具特色的地方典型。2.建设改造一批县级物流配送中心、乡镇商贸中心和快递物流站点，流通效率明显提升，流通成本进一步降低。3.围绕地方特色产业，打造一批县域现代流通供应链，工业品下乡和农产品进城更加畅通。资金安排情况：安排</w:t>
      </w:r>
      <w:r>
        <w:rPr>
          <w:rFonts w:hint="default"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lang w:val="en-US" w:eastAsia="zh-CN"/>
        </w:rPr>
        <w:t>的资金667万元用于跨市县项目，</w:t>
      </w:r>
      <w:r>
        <w:rPr>
          <w:rFonts w:hint="default" w:ascii="仿宋_GB2312" w:hAnsi="仿宋_GB2312" w:eastAsia="仿宋_GB2312" w:cs="仿宋_GB2312"/>
          <w:sz w:val="32"/>
          <w:szCs w:val="32"/>
          <w:lang w:val="en-US" w:eastAsia="zh-CN"/>
        </w:rPr>
        <w:t>90%</w:t>
      </w:r>
      <w:r>
        <w:rPr>
          <w:rFonts w:hint="eastAsia" w:ascii="仿宋_GB2312" w:hAnsi="仿宋_GB2312" w:eastAsia="仿宋_GB2312" w:cs="仿宋_GB2312"/>
          <w:sz w:val="32"/>
          <w:szCs w:val="32"/>
          <w:lang w:val="en-US" w:eastAsia="zh-CN"/>
        </w:rPr>
        <w:t>的资金6008万元按照因素法分配到各市县。</w:t>
      </w:r>
      <w:bookmarkStart w:id="0" w:name="_GoBack"/>
      <w:bookmarkEnd w:id="0"/>
    </w:p>
    <w:p w14:paraId="1B8CDD77">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640" w:leftChars="0" w:firstLine="0" w:firstLineChars="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绩效情况分析</w:t>
      </w:r>
    </w:p>
    <w:p w14:paraId="4FE29E27">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640" w:leftChars="0" w:firstLine="0" w:firstLineChars="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资金投入情况分析</w:t>
      </w:r>
    </w:p>
    <w:p w14:paraId="78965806">
      <w:pPr>
        <w:spacing w:line="560" w:lineRule="exact"/>
        <w:ind w:firstLine="640" w:firstLineChars="200"/>
        <w:rPr>
          <w:rFonts w:hint="default" w:ascii="黑体" w:hAnsi="黑体" w:eastAsia="黑体" w:cs="黑体"/>
          <w:sz w:val="32"/>
          <w:szCs w:val="32"/>
          <w:lang w:val="en-US" w:eastAsia="zh-CN"/>
        </w:rPr>
      </w:pPr>
      <w:r>
        <w:rPr>
          <w:rFonts w:hint="eastAsia" w:ascii="仿宋_GB2312" w:hAnsi="仿宋_GB2312" w:eastAsia="仿宋_GB2312" w:cs="仿宋_GB2312"/>
          <w:sz w:val="32"/>
          <w:szCs w:val="32"/>
        </w:rPr>
        <w:t>按照“政府引导、市场运作”的原则，</w:t>
      </w:r>
      <w:r>
        <w:rPr>
          <w:rFonts w:hint="eastAsia" w:ascii="仿宋_GB2312" w:hAnsi="仿宋_GB2312" w:eastAsia="仿宋_GB2312" w:cs="仿宋_GB2312"/>
          <w:sz w:val="32"/>
          <w:szCs w:val="32"/>
          <w:lang w:val="en-US" w:eastAsia="zh-CN"/>
        </w:rPr>
        <w:t>我省</w:t>
      </w:r>
      <w:r>
        <w:rPr>
          <w:rFonts w:hint="eastAsia" w:ascii="仿宋_GB2312" w:hAnsi="仿宋_GB2312" w:eastAsia="仿宋_GB2312" w:cs="仿宋_GB2312"/>
          <w:sz w:val="32"/>
          <w:szCs w:val="32"/>
        </w:rPr>
        <w:t>通过财政资金引导各类市场主体积极参与我省县域商业建设行动，推动建立县域统筹，以县城为中心、乡镇为重点、村为基础</w:t>
      </w:r>
      <w:r>
        <w:rPr>
          <w:rFonts w:hint="eastAsia" w:ascii="仿宋_GB2312" w:hAnsi="仿宋_GB2312" w:eastAsia="仿宋_GB2312" w:cs="仿宋_GB2312"/>
          <w:sz w:val="32"/>
          <w:szCs w:val="32"/>
          <w:lang w:val="en-US" w:eastAsia="zh-CN"/>
        </w:rPr>
        <w:t>的农村商业体系</w:t>
      </w:r>
      <w:r>
        <w:rPr>
          <w:rFonts w:hint="eastAsia" w:ascii="仿宋_GB2312" w:hAnsi="仿宋_GB2312" w:eastAsia="仿宋_GB2312" w:cs="仿宋_GB2312"/>
          <w:sz w:val="32"/>
          <w:szCs w:val="32"/>
        </w:rPr>
        <w:t>，促进农村消费和农民增收，助力全面推进乡村振兴。专项资金由省财政厅、省商务厅、省</w:t>
      </w:r>
      <w:r>
        <w:rPr>
          <w:rFonts w:hint="eastAsia" w:ascii="仿宋_GB2312" w:hAnsi="仿宋_GB2312" w:eastAsia="仿宋_GB2312" w:cs="仿宋_GB2312"/>
          <w:sz w:val="32"/>
          <w:szCs w:val="32"/>
          <w:lang w:val="en-US" w:eastAsia="zh-CN"/>
        </w:rPr>
        <w:t>农业农村厅</w:t>
      </w:r>
      <w:r>
        <w:rPr>
          <w:rFonts w:hint="eastAsia" w:ascii="仿宋_GB2312" w:hAnsi="仿宋_GB2312" w:eastAsia="仿宋_GB2312" w:cs="仿宋_GB2312"/>
          <w:sz w:val="32"/>
          <w:szCs w:val="32"/>
        </w:rPr>
        <w:t>共同实施管理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截至目前，共支持</w:t>
      </w:r>
      <w:r>
        <w:rPr>
          <w:rFonts w:hint="default"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val="en-US" w:eastAsia="zh-CN"/>
        </w:rPr>
        <w:t>1个项目，其中跨市县项目4个，县域项目57个，共拨付资金3572万元，拨付率为53.51</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w:t>
      </w:r>
    </w:p>
    <w:p w14:paraId="0C03F973">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640" w:leftChars="0" w:firstLine="0" w:firstLineChars="0"/>
        <w:jc w:val="both"/>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资金管理情况分析</w:t>
      </w:r>
    </w:p>
    <w:p w14:paraId="5DFFAC81">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1.资金支持内容。</w:t>
      </w:r>
      <w:r>
        <w:rPr>
          <w:rFonts w:hint="eastAsia" w:ascii="仿宋_GB2312" w:hAnsi="仿宋_GB2312" w:eastAsia="仿宋_GB2312" w:cs="仿宋_GB2312"/>
          <w:sz w:val="32"/>
          <w:szCs w:val="32"/>
          <w:lang w:val="en-US" w:eastAsia="zh-CN"/>
        </w:rPr>
        <w:t>按照《财政部办公厅商务部办公厅国家乡村振兴局综合司关于支持实施县域商业建设行动的通知》（</w:t>
      </w:r>
      <w:r>
        <w:rPr>
          <w:rFonts w:hint="eastAsia" w:ascii="仿宋_GB2312" w:hAnsi="仿宋_GB2312" w:eastAsia="仿宋_GB2312" w:cs="仿宋_GB2312"/>
          <w:sz w:val="32"/>
          <w:szCs w:val="32"/>
        </w:rPr>
        <w:t>财办建〔2022〕18号</w:t>
      </w:r>
      <w:r>
        <w:rPr>
          <w:rFonts w:hint="eastAsia" w:ascii="仿宋_GB2312" w:hAnsi="仿宋_GB2312" w:eastAsia="仿宋_GB2312" w:cs="仿宋_GB2312"/>
          <w:sz w:val="32"/>
          <w:szCs w:val="32"/>
          <w:lang w:val="en-US" w:eastAsia="zh-CN"/>
        </w:rPr>
        <w:t>文）要求，</w:t>
      </w:r>
      <w:r>
        <w:rPr>
          <w:rFonts w:hint="eastAsia" w:ascii="仿宋_GB2312" w:hAnsi="仿宋_GB2312" w:eastAsia="仿宋_GB2312" w:cs="仿宋_GB2312"/>
          <w:sz w:val="32"/>
          <w:szCs w:val="32"/>
        </w:rPr>
        <w:t>重点聚焦县域商业体系中的市场缺位和薄弱环节，主要支持补齐县域商业基础设施短板、完善县乡村三级物流配送体系、改善优化县域消费渠道、增强农村产品上行动能、提高县域生活服务供给质量5个方面内容，以</w:t>
      </w:r>
      <w:r>
        <w:rPr>
          <w:rFonts w:hint="eastAsia" w:ascii="仿宋_GB2312" w:hAnsi="仿宋_GB2312" w:eastAsia="仿宋_GB2312" w:cs="仿宋_GB2312"/>
          <w:sz w:val="32"/>
          <w:szCs w:val="32"/>
          <w:lang w:val="en-US" w:eastAsia="zh-CN"/>
        </w:rPr>
        <w:t>供应链、物流配送、商品和服务下沉以及农产品上行为主线，以</w:t>
      </w:r>
      <w:r>
        <w:rPr>
          <w:rFonts w:hint="eastAsia" w:ascii="仿宋_GB2312" w:hAnsi="仿宋_GB2312" w:eastAsia="仿宋_GB2312" w:cs="仿宋_GB2312"/>
          <w:sz w:val="32"/>
          <w:szCs w:val="32"/>
        </w:rPr>
        <w:t>县乡村商业网络体系和农村物流配送“三点一线”为重点，加快补齐农村商业设施短板，健全县乡村物流配送体系，引导商贸流通企业转型升级，推动县域商业高质量发展</w:t>
      </w:r>
      <w:r>
        <w:rPr>
          <w:rFonts w:hint="eastAsia" w:ascii="仿宋_GB2312" w:hAnsi="仿宋_GB2312" w:eastAsia="仿宋_GB2312" w:cs="仿宋_GB2312"/>
          <w:sz w:val="32"/>
          <w:szCs w:val="32"/>
          <w:lang w:eastAsia="zh-CN"/>
        </w:rPr>
        <w:t>。</w:t>
      </w:r>
    </w:p>
    <w:p w14:paraId="762B0326">
      <w:pPr>
        <w:spacing w:line="560" w:lineRule="exact"/>
        <w:ind w:firstLine="640"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rPr>
        <w:t>2.资金分配</w:t>
      </w:r>
      <w:r>
        <w:rPr>
          <w:rFonts w:hint="eastAsia" w:ascii="仿宋_GB2312" w:hAnsi="仿宋_GB2312" w:eastAsia="仿宋_GB2312" w:cs="仿宋_GB2312"/>
          <w:sz w:val="32"/>
          <w:szCs w:val="32"/>
          <w:lang w:val="en-US" w:eastAsia="zh-CN"/>
        </w:rPr>
        <w:t>方式和标准</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采取项目法和因素法相结合的</w:t>
      </w:r>
      <w:r>
        <w:rPr>
          <w:rFonts w:hint="eastAsia" w:ascii="仿宋_GB2312" w:hAnsi="仿宋_GB2312" w:eastAsia="仿宋_GB2312" w:cs="仿宋_GB2312"/>
          <w:sz w:val="32"/>
          <w:szCs w:val="32"/>
        </w:rPr>
        <w:t>方式</w:t>
      </w:r>
      <w:r>
        <w:rPr>
          <w:rFonts w:hint="eastAsia" w:ascii="仿宋_GB2312" w:hAnsi="仿宋_GB2312" w:eastAsia="仿宋_GB2312" w:cs="仿宋_GB2312"/>
          <w:sz w:val="32"/>
          <w:szCs w:val="32"/>
          <w:lang w:val="en-US" w:eastAsia="zh-CN"/>
        </w:rPr>
        <w:t>分配。其中</w:t>
      </w:r>
      <w:r>
        <w:rPr>
          <w:rFonts w:hint="default"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lang w:val="en-US" w:eastAsia="zh-CN"/>
        </w:rPr>
        <w:t>的资金用于跨市县的项目，由海南省商务厅、海南省财政厅、海南省农业农村厅负责组织项目申报和实施。</w:t>
      </w:r>
      <w:r>
        <w:rPr>
          <w:rFonts w:hint="default" w:ascii="仿宋_GB2312" w:hAnsi="仿宋_GB2312" w:eastAsia="仿宋_GB2312" w:cs="仿宋_GB2312"/>
          <w:sz w:val="32"/>
          <w:szCs w:val="32"/>
          <w:lang w:val="en-US" w:eastAsia="zh-CN"/>
        </w:rPr>
        <w:t>90%</w:t>
      </w:r>
      <w:r>
        <w:rPr>
          <w:rFonts w:hint="eastAsia" w:ascii="仿宋_GB2312" w:hAnsi="仿宋_GB2312" w:eastAsia="仿宋_GB2312" w:cs="仿宋_GB2312"/>
          <w:sz w:val="32"/>
          <w:szCs w:val="32"/>
          <w:lang w:val="en-US" w:eastAsia="zh-CN"/>
        </w:rPr>
        <w:t>的资金采取因素法分配到各市县区，市县组织县域项目申报、评审，经市县政府同意后，报海南省商务厅备案，海南省商务厅组织第三方对项目申报材料进行合规性审查，</w:t>
      </w:r>
      <w:r>
        <w:rPr>
          <w:rFonts w:hint="eastAsia" w:ascii="仿宋_GB2312" w:hAnsi="仿宋_GB2312" w:eastAsia="仿宋_GB2312" w:cs="仿宋_GB2312"/>
          <w:color w:val="auto"/>
          <w:sz w:val="32"/>
          <w:szCs w:val="32"/>
          <w:lang w:val="en-US" w:eastAsia="zh-CN"/>
        </w:rPr>
        <w:t>审查通过并公示无异议后列入项目库。单个项目奖补比例不超过项目实际投入设施设备金额的</w:t>
      </w:r>
      <w:r>
        <w:rPr>
          <w:rFonts w:hint="default"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val="en-US" w:eastAsia="zh-CN"/>
        </w:rPr>
        <w:t>0%，五指山、临高、白沙、保亭、琼中等乡村振兴重点帮扶县，文昌、昌江等国家乡村振兴示范县单个项目奖补比例不超过</w:t>
      </w:r>
      <w:r>
        <w:rPr>
          <w:rFonts w:hint="default"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val="en-US" w:eastAsia="zh-CN"/>
        </w:rPr>
        <w:t>。县域项目单个项目补助金额不超过</w:t>
      </w:r>
      <w:r>
        <w:rPr>
          <w:rFonts w:hint="default" w:ascii="仿宋_GB2312" w:hAnsi="仿宋_GB2312" w:eastAsia="仿宋_GB2312" w:cs="仿宋_GB2312"/>
          <w:color w:val="auto"/>
          <w:sz w:val="32"/>
          <w:szCs w:val="32"/>
          <w:lang w:val="en-US" w:eastAsia="zh-CN"/>
        </w:rPr>
        <w:t>300</w:t>
      </w:r>
      <w:r>
        <w:rPr>
          <w:rFonts w:hint="eastAsia" w:ascii="仿宋_GB2312" w:hAnsi="仿宋_GB2312" w:eastAsia="仿宋_GB2312" w:cs="仿宋_GB2312"/>
          <w:color w:val="auto"/>
          <w:sz w:val="32"/>
          <w:szCs w:val="32"/>
          <w:lang w:val="en-US" w:eastAsia="zh-CN"/>
        </w:rPr>
        <w:t>万元，跨市县项目单个项目补助金额不超过</w:t>
      </w:r>
      <w:r>
        <w:rPr>
          <w:rFonts w:hint="default" w:ascii="仿宋_GB2312" w:hAnsi="仿宋_GB2312" w:eastAsia="仿宋_GB2312" w:cs="仿宋_GB2312"/>
          <w:color w:val="auto"/>
          <w:sz w:val="32"/>
          <w:szCs w:val="32"/>
          <w:lang w:val="en-US" w:eastAsia="zh-CN"/>
        </w:rPr>
        <w:t>500</w:t>
      </w:r>
      <w:r>
        <w:rPr>
          <w:rFonts w:hint="eastAsia" w:ascii="仿宋_GB2312" w:hAnsi="仿宋_GB2312" w:eastAsia="仿宋_GB2312" w:cs="仿宋_GB2312"/>
          <w:color w:val="auto"/>
          <w:sz w:val="32"/>
          <w:szCs w:val="32"/>
          <w:lang w:val="en-US" w:eastAsia="zh-CN"/>
        </w:rPr>
        <w:t>万元。</w:t>
      </w:r>
    </w:p>
    <w:p w14:paraId="603CE823">
      <w:pPr>
        <w:numPr>
          <w:ilvl w:val="0"/>
          <w:numId w:val="0"/>
        </w:numPr>
        <w:spacing w:line="560" w:lineRule="exact"/>
        <w:ind w:firstLine="640" w:firstLineChars="200"/>
        <w:rPr>
          <w:rFonts w:hint="default"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val="en-US" w:eastAsia="zh-CN"/>
        </w:rPr>
        <w:t>资金拨付。专项资金拨付按照“先验收、后补助”的原则进行拨付。项目实际投资额度达到申报投资额的50%以上，并提供有效投资票据的，可按比例将奖补资金拨付到项目单位，拨付资金最多不超过项目拟奖补资金额的80%。</w:t>
      </w:r>
    </w:p>
    <w:p w14:paraId="1786ED3A">
      <w:pPr>
        <w:numPr>
          <w:ilvl w:val="0"/>
          <w:numId w:val="0"/>
        </w:num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4.资金项目管理制度。202</w:t>
      </w:r>
      <w:r>
        <w:rPr>
          <w:rFonts w:hint="default"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en-US" w:eastAsia="zh-CN"/>
        </w:rPr>
        <w:t>年</w:t>
      </w:r>
      <w:r>
        <w:rPr>
          <w:rFonts w:hint="default"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val="en-US" w:eastAsia="zh-CN"/>
        </w:rPr>
        <w:t>月，海南省商务厅、海南省财政厅、海南省乡村振兴局印发《海南省县域商业建设行动资金项目管理办法（暂行）》、</w:t>
      </w:r>
      <w:r>
        <w:rPr>
          <w:rFonts w:hint="default"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val="en-US" w:eastAsia="zh-CN"/>
        </w:rPr>
        <w:t>月，省商务厅出台《关于做好县域商业建设行动项目验收工作的通知》，进一步明确专项资金分配方式，支持内容、方式和标准，项目验收方式和流程。</w:t>
      </w:r>
      <w:r>
        <w:rPr>
          <w:rFonts w:hint="default" w:ascii="仿宋_GB2312" w:hAnsi="仿宋_GB2312" w:eastAsia="仿宋_GB2312" w:cs="仿宋_GB2312"/>
          <w:sz w:val="32"/>
          <w:szCs w:val="32"/>
          <w:lang w:val="en-US" w:eastAsia="zh-CN"/>
        </w:rPr>
        <w:t>2023</w:t>
      </w:r>
      <w:r>
        <w:rPr>
          <w:rFonts w:hint="eastAsia" w:ascii="仿宋_GB2312" w:hAnsi="仿宋_GB2312" w:eastAsia="仿宋_GB2312" w:cs="仿宋_GB2312"/>
          <w:sz w:val="32"/>
          <w:szCs w:val="32"/>
          <w:lang w:val="en-US" w:eastAsia="zh-CN"/>
        </w:rPr>
        <w:t>年</w:t>
      </w:r>
      <w:r>
        <w:rPr>
          <w:rFonts w:hint="default"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lang w:val="en-US" w:eastAsia="zh-CN"/>
        </w:rPr>
        <w:t>月-2024年10月，为进一步加强资金项目管理，陆续印发《海南省商务厅海南省财政厅海南省乡村振兴局关于海南省县域商业建设行动项目与资金管理相关工作的通知》《海南省商务厅关于开展县域商业建设行动绩效评价工作的通知》《海南省商务厅关于建立县域商业建设行动项目储备库的通知》《海南省商务厅关于建立县域商业建设行动日常监督检查机制的通知》《海南省商务厅关于县域商业建设行动跨市县项目申报工作的补充通知》《海南省商务厅关于进一步规范已入库县域商业建设行动项目管理的通知》，进一步完善项目资金制度机制。</w:t>
      </w:r>
    </w:p>
    <w:p w14:paraId="6FD7A5C0">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640" w:leftChars="0" w:firstLine="0" w:firstLineChars="0"/>
        <w:jc w:val="both"/>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总体绩效目标完成情况分析</w:t>
      </w:r>
    </w:p>
    <w:p w14:paraId="77178A87">
      <w:pPr>
        <w:numPr>
          <w:ilvl w:val="0"/>
          <w:numId w:val="0"/>
        </w:num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全省新建改造县城综合商贸服务中心8个，实现全省县城综合商贸服务中心覆盖率100%；新建改造乡镇商贸中心10个，村级便民商店750个，乡镇商贸中心覆盖率100%，村级便民店覆盖率100 %，完善县乡村三级物流配送体系项目5个，快递进村覆盖率100%，物流资源整合共配率39%。</w:t>
      </w:r>
      <w:r>
        <w:rPr>
          <w:rFonts w:hint="eastAsia" w:ascii="仿宋_GB2312" w:hAnsi="Calibri" w:eastAsia="仿宋_GB2312" w:cs="仿宋_GB2312"/>
          <w:kern w:val="2"/>
          <w:sz w:val="32"/>
          <w:szCs w:val="32"/>
          <w:lang w:val="en-US" w:eastAsia="zh-CN" w:bidi="ar"/>
        </w:rPr>
        <w:t>县域商贸中心万人保有量为1.85个、县域农贸市场万人保有量为0.7个、县域便民商店万人保有量为18.73个，分别增长1.14%、4.23%、2.44%。通过绩效自评，我们认为我省积极贯彻“中央统筹、省负总责、市县区抓落实”的总体工作原则，坚决做到责任上肩、措施上手、工作上心，会同财政、农业农村、邮政、供销等部门按照党中央、国务院决策部署，对标商务部、财政部、农业农村部明确的工作要求，扎实组织开展县域商业建设行动，取得了积极成效，进一步推动资源要素向农村市场倾斜，完善农产品现代流通体系，畅通工业品下乡和农产品进城双向流通渠道，推动了县域商业高质量发展，实现了农民增收与消费提质的良性循环</w:t>
      </w:r>
    </w:p>
    <w:p w14:paraId="419B939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（四）绩效指标完成情况分析</w:t>
      </w:r>
    </w:p>
    <w:p w14:paraId="41B9B8E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对照中央资金下达的绩效目标表，落实情况如下：</w:t>
      </w:r>
    </w:p>
    <w:p w14:paraId="6A4D4F7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1.在产出指标方面。</w:t>
      </w:r>
      <w:r>
        <w:rPr>
          <w:rFonts w:hint="default" w:ascii="仿宋_GB2312" w:hAnsi="仿宋_GB2312" w:eastAsia="仿宋_GB2312" w:cs="仿宋_GB2312"/>
          <w:sz w:val="32"/>
          <w:szCs w:val="32"/>
          <w:lang w:val="en-US" w:eastAsia="zh-CN"/>
        </w:rPr>
        <w:t>202</w:t>
      </w:r>
      <w:r>
        <w:rPr>
          <w:rFonts w:hint="eastAsia" w:ascii="仿宋_GB2312" w:hAnsi="仿宋_GB2312" w:eastAsia="仿宋_GB2312" w:cs="仿宋_GB2312"/>
          <w:sz w:val="32"/>
          <w:szCs w:val="32"/>
          <w:lang w:val="en-US" w:eastAsia="zh-CN"/>
        </w:rPr>
        <w:t>4年，我省县级物流配送中心新增改造数量5个；实现</w:t>
      </w:r>
      <w:r>
        <w:rPr>
          <w:rFonts w:hint="eastAsia" w:ascii="仿宋_GB2312" w:hAnsi="Calibri" w:eastAsia="仿宋_GB2312" w:cs="仿宋_GB2312"/>
          <w:kern w:val="2"/>
          <w:sz w:val="32"/>
          <w:szCs w:val="32"/>
          <w:lang w:val="en-US" w:eastAsia="zh-CN" w:bidi="ar"/>
        </w:rPr>
        <w:t>农村网络零售额实现227.69亿元，同比增长24.06%；</w:t>
      </w:r>
      <w:r>
        <w:rPr>
          <w:rFonts w:hint="eastAsia" w:ascii="仿宋_GB2312" w:hAnsi="仿宋_GB2312" w:eastAsia="仿宋_GB2312" w:cs="仿宋_GB2312"/>
          <w:sz w:val="32"/>
          <w:szCs w:val="32"/>
          <w:lang w:val="en-US" w:eastAsia="zh-CN"/>
        </w:rPr>
        <w:t>乡镇商贸中心新建10个，覆盖率达到100%；</w:t>
      </w:r>
      <w:r>
        <w:rPr>
          <w:rFonts w:hint="eastAsia" w:ascii="仿宋_GB2312" w:hAnsi="Calibri" w:eastAsia="仿宋_GB2312" w:cs="仿宋_GB2312"/>
          <w:b w:val="0"/>
          <w:bCs w:val="0"/>
          <w:kern w:val="2"/>
          <w:sz w:val="32"/>
          <w:szCs w:val="32"/>
          <w:lang w:val="en-US" w:eastAsia="zh-CN" w:bidi="ar"/>
        </w:rPr>
        <w:t>县域商品和服务销售额1167.12亿元，同比增长2.75%。</w:t>
      </w:r>
    </w:p>
    <w:p w14:paraId="5615FE7F">
      <w:pPr>
        <w:pStyle w:val="2"/>
        <w:keepNext w:val="0"/>
        <w:keepLines w:val="0"/>
        <w:pageBreakBefore w:val="0"/>
        <w:widowControl w:val="0"/>
        <w:kinsoku/>
        <w:wordWrap/>
        <w:overflowPunct/>
        <w:topLinePunct w:val="0"/>
        <w:autoSpaceDE/>
        <w:autoSpaceDN/>
        <w:bidi w:val="0"/>
        <w:adjustRightInd/>
        <w:snapToGrid/>
        <w:spacing w:after="0" w:line="58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en-US" w:eastAsia="zh-CN"/>
        </w:rPr>
        <w:t>在效益指标方面。</w:t>
      </w:r>
      <w:r>
        <w:rPr>
          <w:rFonts w:hint="default" w:ascii="仿宋_GB2312" w:hAnsi="仿宋_GB2312" w:eastAsia="仿宋_GB2312" w:cs="仿宋_GB2312"/>
          <w:sz w:val="32"/>
          <w:szCs w:val="32"/>
          <w:lang w:val="en-US" w:eastAsia="zh-CN"/>
        </w:rPr>
        <w:t>202</w:t>
      </w:r>
      <w:r>
        <w:rPr>
          <w:rFonts w:hint="eastAsia" w:ascii="仿宋_GB2312" w:hAnsi="仿宋_GB2312" w:eastAsia="仿宋_GB2312" w:cs="仿宋_GB2312"/>
          <w:sz w:val="32"/>
          <w:szCs w:val="32"/>
          <w:lang w:val="en-US" w:eastAsia="zh-CN"/>
        </w:rPr>
        <w:t>4年，我省乡村零售额比城镇零售高2.8%。</w:t>
      </w:r>
      <w:r>
        <w:rPr>
          <w:rFonts w:hint="eastAsia" w:ascii="仿宋_GB2312" w:hAnsi="Calibri" w:eastAsia="仿宋_GB2312" w:cs="仿宋_GB2312"/>
          <w:b w:val="0"/>
          <w:bCs w:val="0"/>
          <w:kern w:val="2"/>
          <w:sz w:val="32"/>
          <w:szCs w:val="32"/>
          <w:lang w:val="en-US" w:eastAsia="zh-CN" w:bidi="ar"/>
        </w:rPr>
        <w:t>农村网商数12.74万家，同比增长4.27%，</w:t>
      </w:r>
      <w:r>
        <w:rPr>
          <w:rFonts w:hint="eastAsia" w:ascii="仿宋_GB2312" w:hAnsi="仿宋_GB2312" w:eastAsia="仿宋_GB2312" w:cs="仿宋_GB2312"/>
          <w:sz w:val="32"/>
          <w:szCs w:val="32"/>
          <w:lang w:val="en-US" w:eastAsia="zh-CN"/>
        </w:rPr>
        <w:t>全省</w:t>
      </w:r>
      <w:r>
        <w:rPr>
          <w:rFonts w:hint="eastAsia" w:ascii="仿宋_GB2312" w:hAnsi="Calibri" w:eastAsia="仿宋_GB2312" w:cs="仿宋_GB2312"/>
          <w:b w:val="0"/>
          <w:bCs/>
          <w:kern w:val="2"/>
          <w:sz w:val="32"/>
          <w:szCs w:val="32"/>
          <w:lang w:val="en-US" w:eastAsia="zh-CN" w:bidi="ar"/>
        </w:rPr>
        <w:t>县域人均可支配收入同比增速5.38%，</w:t>
      </w:r>
      <w:r>
        <w:rPr>
          <w:rFonts w:hint="eastAsia" w:ascii="仿宋_GB2312" w:hAnsi="Calibri" w:eastAsia="仿宋_GB2312" w:cs="仿宋_GB2312"/>
          <w:b w:val="0"/>
          <w:bCs w:val="0"/>
          <w:kern w:val="2"/>
          <w:sz w:val="32"/>
          <w:szCs w:val="32"/>
          <w:lang w:val="en-US" w:eastAsia="zh-CN" w:bidi="ar"/>
        </w:rPr>
        <w:t>县域人均消费支出同比增速9.74%，进一步培育了农村新型经营主体，带动了农民增收。</w:t>
      </w:r>
    </w:p>
    <w:p w14:paraId="0731E9C3">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en-US" w:eastAsia="zh-CN"/>
        </w:rPr>
        <w:t>在满意度指标方面。项目服务对项目的满意度为</w:t>
      </w:r>
      <w:r>
        <w:rPr>
          <w:rFonts w:hint="default"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lang w:val="en-US" w:eastAsia="zh-CN"/>
        </w:rPr>
        <w:t>0</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以上。</w:t>
      </w:r>
    </w:p>
    <w:p w14:paraId="55225035">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640" w:leftChars="0" w:firstLine="0" w:firstLineChars="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偏离绩效目标的原因和下一步改进措施</w:t>
      </w:r>
    </w:p>
    <w:p w14:paraId="757BFBB3">
      <w:pPr>
        <w:numPr>
          <w:ilvl w:val="0"/>
          <w:numId w:val="3"/>
        </w:numPr>
        <w:spacing w:line="560" w:lineRule="exact"/>
        <w:ind w:firstLine="640" w:firstLineChars="200"/>
        <w:rPr>
          <w:rFonts w:hint="eastAsia" w:ascii="楷体" w:hAnsi="楷体" w:eastAsia="楷体" w:cs="楷体"/>
          <w:color w:val="000000"/>
          <w:kern w:val="0"/>
          <w:sz w:val="32"/>
          <w:szCs w:val="32"/>
          <w:shd w:val="clear" w:color="auto" w:fill="FFFFFF"/>
          <w:lang w:val="en-US" w:eastAsia="zh-CN" w:bidi="ar"/>
        </w:rPr>
      </w:pPr>
      <w:r>
        <w:rPr>
          <w:rFonts w:hint="eastAsia" w:ascii="楷体" w:hAnsi="楷体" w:eastAsia="楷体" w:cs="楷体"/>
          <w:color w:val="000000"/>
          <w:kern w:val="0"/>
          <w:sz w:val="32"/>
          <w:szCs w:val="32"/>
          <w:shd w:val="clear" w:color="auto" w:fill="FFFFFF"/>
          <w:lang w:val="en-US" w:eastAsia="zh-CN" w:bidi="ar"/>
        </w:rPr>
        <w:t>资金管理中存在的问题</w:t>
      </w:r>
    </w:p>
    <w:p w14:paraId="09FA00F8">
      <w:pPr>
        <w:numPr>
          <w:ilvl w:val="-1"/>
          <w:numId w:val="0"/>
        </w:numPr>
        <w:spacing w:line="560" w:lineRule="exact"/>
        <w:ind w:firstLine="640" w:firstLineChars="200"/>
        <w:rPr>
          <w:rFonts w:hint="default" w:ascii="仿宋_GB2312" w:hAnsi="微软雅黑" w:eastAsia="仿宋_GB2312" w:cs="仿宋_GB2312"/>
          <w:color w:val="000000"/>
          <w:kern w:val="0"/>
          <w:sz w:val="32"/>
          <w:szCs w:val="32"/>
          <w:shd w:val="clear" w:color="auto" w:fill="FFFFFF"/>
          <w:lang w:val="en-US" w:eastAsia="zh-CN" w:bidi="ar"/>
        </w:rPr>
      </w:pPr>
      <w:r>
        <w:rPr>
          <w:rFonts w:hint="default" w:ascii="仿宋_GB2312" w:hAnsi="微软雅黑" w:eastAsia="仿宋_GB2312" w:cs="仿宋_GB2312"/>
          <w:color w:val="000000"/>
          <w:kern w:val="0"/>
          <w:sz w:val="32"/>
          <w:szCs w:val="32"/>
          <w:shd w:val="clear" w:color="auto" w:fill="FFFFFF"/>
          <w:lang w:val="en-US" w:eastAsia="zh-CN" w:bidi="ar"/>
        </w:rPr>
        <w:t>1.</w:t>
      </w:r>
      <w:r>
        <w:rPr>
          <w:rFonts w:hint="eastAsia" w:ascii="仿宋_GB2312" w:hAnsi="微软雅黑" w:eastAsia="仿宋_GB2312" w:cs="仿宋_GB2312"/>
          <w:color w:val="000000"/>
          <w:kern w:val="0"/>
          <w:sz w:val="32"/>
          <w:szCs w:val="32"/>
          <w:shd w:val="clear" w:color="auto" w:fill="FFFFFF"/>
          <w:lang w:val="en-US" w:eastAsia="zh-CN" w:bidi="ar"/>
        </w:rPr>
        <w:t>县域商业体系建设整体推进意识不强。我省部分市县</w:t>
      </w:r>
      <w:r>
        <w:rPr>
          <w:rFonts w:hint="default" w:ascii="仿宋_GB2312" w:hAnsi="微软雅黑" w:eastAsia="仿宋_GB2312" w:cs="仿宋_GB2312"/>
          <w:color w:val="000000"/>
          <w:kern w:val="0"/>
          <w:sz w:val="32"/>
          <w:szCs w:val="32"/>
          <w:shd w:val="clear" w:color="auto" w:fill="FFFFFF"/>
          <w:lang w:val="en-US" w:eastAsia="zh-CN" w:bidi="ar"/>
        </w:rPr>
        <w:t>对县域商业</w:t>
      </w:r>
      <w:r>
        <w:rPr>
          <w:rFonts w:hint="eastAsia" w:ascii="仿宋_GB2312" w:hAnsi="微软雅黑" w:eastAsia="仿宋_GB2312" w:cs="仿宋_GB2312"/>
          <w:color w:val="000000"/>
          <w:kern w:val="0"/>
          <w:sz w:val="32"/>
          <w:szCs w:val="32"/>
          <w:shd w:val="clear" w:color="auto" w:fill="FFFFFF"/>
          <w:lang w:val="en-US" w:eastAsia="zh-CN" w:bidi="ar"/>
        </w:rPr>
        <w:t>体系建设</w:t>
      </w:r>
      <w:r>
        <w:rPr>
          <w:rFonts w:hint="default" w:ascii="仿宋_GB2312" w:hAnsi="微软雅黑" w:eastAsia="仿宋_GB2312" w:cs="仿宋_GB2312"/>
          <w:color w:val="000000"/>
          <w:kern w:val="0"/>
          <w:sz w:val="32"/>
          <w:szCs w:val="32"/>
          <w:shd w:val="clear" w:color="auto" w:fill="FFFFFF"/>
          <w:lang w:val="en-US" w:eastAsia="zh-CN" w:bidi="ar"/>
        </w:rPr>
        <w:t>的认识不足</w:t>
      </w:r>
      <w:r>
        <w:rPr>
          <w:rFonts w:hint="eastAsia" w:ascii="仿宋_GB2312" w:hAnsi="微软雅黑" w:eastAsia="仿宋_GB2312" w:cs="仿宋_GB2312"/>
          <w:color w:val="000000"/>
          <w:kern w:val="0"/>
          <w:sz w:val="32"/>
          <w:szCs w:val="32"/>
          <w:shd w:val="clear" w:color="auto" w:fill="FFFFFF"/>
          <w:lang w:val="en-US" w:eastAsia="zh-CN" w:bidi="ar"/>
        </w:rPr>
        <w:t>，</w:t>
      </w:r>
      <w:r>
        <w:rPr>
          <w:rFonts w:hint="default" w:ascii="仿宋_GB2312" w:hAnsi="微软雅黑" w:eastAsia="仿宋_GB2312" w:cs="仿宋_GB2312"/>
          <w:color w:val="000000"/>
          <w:kern w:val="0"/>
          <w:sz w:val="32"/>
          <w:szCs w:val="32"/>
          <w:shd w:val="clear" w:color="auto" w:fill="FFFFFF"/>
          <w:lang w:val="en-US" w:eastAsia="zh-CN" w:bidi="ar"/>
        </w:rPr>
        <w:t>普遍存在重项目建设、轻整体工作推进的情况。有的</w:t>
      </w:r>
      <w:r>
        <w:rPr>
          <w:rFonts w:hint="eastAsia" w:ascii="仿宋_GB2312" w:hAnsi="微软雅黑" w:eastAsia="仿宋_GB2312" w:cs="仿宋_GB2312"/>
          <w:color w:val="000000"/>
          <w:kern w:val="0"/>
          <w:sz w:val="32"/>
          <w:szCs w:val="32"/>
          <w:shd w:val="clear" w:color="auto" w:fill="FFFFFF"/>
          <w:lang w:val="en-US" w:eastAsia="zh-CN" w:bidi="ar"/>
        </w:rPr>
        <w:t>市县</w:t>
      </w:r>
      <w:r>
        <w:rPr>
          <w:rFonts w:hint="default" w:ascii="仿宋_GB2312" w:hAnsi="微软雅黑" w:eastAsia="仿宋_GB2312" w:cs="仿宋_GB2312"/>
          <w:color w:val="000000"/>
          <w:kern w:val="0"/>
          <w:sz w:val="32"/>
          <w:szCs w:val="32"/>
          <w:shd w:val="clear" w:color="auto" w:fill="FFFFFF"/>
          <w:lang w:val="en-US" w:eastAsia="zh-CN" w:bidi="ar"/>
        </w:rPr>
        <w:t>还存县域商业体系建设是给资金才干，没有资金可以不干的错误认识</w:t>
      </w:r>
      <w:r>
        <w:rPr>
          <w:rFonts w:hint="eastAsia" w:ascii="仿宋_GB2312" w:hAnsi="微软雅黑" w:eastAsia="仿宋_GB2312" w:cs="仿宋_GB2312"/>
          <w:color w:val="000000"/>
          <w:kern w:val="0"/>
          <w:sz w:val="32"/>
          <w:szCs w:val="32"/>
          <w:shd w:val="clear" w:color="auto" w:fill="FFFFFF"/>
          <w:lang w:val="en-US" w:eastAsia="zh-CN" w:bidi="ar"/>
        </w:rPr>
        <w:t>，在推进过程中，未充分利用县域商业建设行动资金，对照分型县达标验收任务目标，补齐县域商业基础设施和公共服务短板。</w:t>
      </w:r>
    </w:p>
    <w:p w14:paraId="2AAD6E79">
      <w:pPr>
        <w:spacing w:line="560" w:lineRule="exact"/>
        <w:ind w:firstLine="640" w:firstLineChars="200"/>
        <w:rPr>
          <w:rFonts w:hint="default" w:ascii="仿宋_GB2312" w:hAnsi="微软雅黑" w:eastAsia="仿宋_GB2312" w:cs="仿宋_GB2312"/>
          <w:color w:val="000000"/>
          <w:kern w:val="0"/>
          <w:sz w:val="32"/>
          <w:szCs w:val="32"/>
          <w:shd w:val="clear" w:color="auto" w:fill="FFFFFF"/>
          <w:lang w:val="en-US" w:eastAsia="zh-CN" w:bidi="ar"/>
        </w:rPr>
      </w:pPr>
      <w:r>
        <w:rPr>
          <w:rFonts w:hint="eastAsia" w:ascii="仿宋_GB2312" w:hAnsi="微软雅黑" w:eastAsia="仿宋_GB2312" w:cs="仿宋_GB2312"/>
          <w:color w:val="000000"/>
          <w:kern w:val="0"/>
          <w:sz w:val="32"/>
          <w:szCs w:val="32"/>
          <w:shd w:val="clear" w:color="auto" w:fill="FFFFFF"/>
          <w:lang w:val="en-US" w:eastAsia="zh-CN" w:bidi="ar"/>
        </w:rPr>
        <w:t>2.项目的质量需进一步提升。因县域商业建设行动资金以投入的设施设备金额为基数进行支持，低于其他资金按照项目投资总额为基数给予的支持，支持力度低，大企业参与积极性不高，部分优质项目选择申报发改等部门项目。我省申报项目中增强农村产品上行动能占比</w:t>
      </w:r>
      <w:r>
        <w:rPr>
          <w:rFonts w:hint="default" w:ascii="仿宋_GB2312" w:hAnsi="微软雅黑" w:eastAsia="仿宋_GB2312" w:cs="仿宋_GB2312"/>
          <w:color w:val="000000"/>
          <w:kern w:val="0"/>
          <w:sz w:val="32"/>
          <w:szCs w:val="32"/>
          <w:shd w:val="clear" w:color="auto" w:fill="FFFFFF"/>
          <w:lang w:val="en-US" w:eastAsia="zh-CN" w:bidi="ar"/>
        </w:rPr>
        <w:t>2</w:t>
      </w:r>
      <w:r>
        <w:rPr>
          <w:rFonts w:hint="eastAsia" w:ascii="仿宋_GB2312" w:hAnsi="微软雅黑" w:eastAsia="仿宋_GB2312" w:cs="仿宋_GB2312"/>
          <w:color w:val="000000"/>
          <w:kern w:val="0"/>
          <w:sz w:val="32"/>
          <w:szCs w:val="32"/>
          <w:shd w:val="clear" w:color="auto" w:fill="FFFFFF"/>
          <w:lang w:val="en-US" w:eastAsia="zh-CN" w:bidi="ar"/>
        </w:rPr>
        <w:t>/</w:t>
      </w:r>
      <w:r>
        <w:rPr>
          <w:rFonts w:hint="default" w:ascii="仿宋_GB2312" w:hAnsi="微软雅黑" w:eastAsia="仿宋_GB2312" w:cs="仿宋_GB2312"/>
          <w:color w:val="000000"/>
          <w:kern w:val="0"/>
          <w:sz w:val="32"/>
          <w:szCs w:val="32"/>
          <w:shd w:val="clear" w:color="auto" w:fill="FFFFFF"/>
          <w:lang w:val="en-US" w:eastAsia="zh-CN" w:bidi="ar"/>
        </w:rPr>
        <w:t>3</w:t>
      </w:r>
      <w:r>
        <w:rPr>
          <w:rFonts w:hint="eastAsia" w:ascii="仿宋_GB2312" w:hAnsi="微软雅黑" w:eastAsia="仿宋_GB2312" w:cs="仿宋_GB2312"/>
          <w:color w:val="000000"/>
          <w:kern w:val="0"/>
          <w:sz w:val="32"/>
          <w:szCs w:val="32"/>
          <w:shd w:val="clear" w:color="auto" w:fill="FFFFFF"/>
          <w:lang w:val="en-US" w:eastAsia="zh-CN" w:bidi="ar"/>
        </w:rPr>
        <w:t>，补齐县域商业基础设施短板和完善县乡村三级物流配送体系的项目较少，项目的质量需进一步提升。</w:t>
      </w:r>
      <w:r>
        <w:rPr>
          <w:rFonts w:hint="default" w:ascii="仿宋_GB2312" w:hAnsi="微软雅黑" w:eastAsia="仿宋_GB2312" w:cs="仿宋_GB2312"/>
          <w:color w:val="000000"/>
          <w:kern w:val="0"/>
          <w:sz w:val="32"/>
          <w:szCs w:val="32"/>
          <w:shd w:val="clear" w:color="auto" w:fill="FFFFFF"/>
          <w:lang w:val="en-US" w:eastAsia="zh-CN" w:bidi="ar"/>
        </w:rPr>
        <w:t xml:space="preserve">  </w:t>
      </w:r>
    </w:p>
    <w:p w14:paraId="03014A78">
      <w:pPr>
        <w:pStyle w:val="2"/>
        <w:keepNext w:val="0"/>
        <w:keepLines w:val="0"/>
        <w:pageBreakBefore w:val="0"/>
        <w:widowControl w:val="0"/>
        <w:kinsoku/>
        <w:wordWrap/>
        <w:overflowPunct/>
        <w:topLinePunct w:val="0"/>
        <w:autoSpaceDE/>
        <w:autoSpaceDN/>
        <w:bidi w:val="0"/>
        <w:adjustRightInd/>
        <w:snapToGrid/>
        <w:spacing w:after="0" w:line="580" w:lineRule="exact"/>
        <w:ind w:firstLine="64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（二）绩效目标未完成原因</w:t>
      </w:r>
    </w:p>
    <w:p w14:paraId="05A3F019">
      <w:pPr>
        <w:pStyle w:val="2"/>
        <w:keepNext w:val="0"/>
        <w:keepLines w:val="0"/>
        <w:pageBreakBefore w:val="0"/>
        <w:widowControl w:val="0"/>
        <w:kinsoku/>
        <w:wordWrap/>
        <w:overflowPunct/>
        <w:topLinePunct w:val="0"/>
        <w:autoSpaceDE/>
        <w:autoSpaceDN/>
        <w:bidi w:val="0"/>
        <w:adjustRightInd/>
        <w:snapToGrid/>
        <w:spacing w:after="0" w:line="580" w:lineRule="exact"/>
        <w:ind w:firstLine="640"/>
        <w:textAlignment w:val="auto"/>
        <w:rPr>
          <w:rFonts w:hint="default" w:ascii="仿宋_GB2312" w:hAnsi="微软雅黑" w:eastAsia="仿宋_GB2312" w:cs="仿宋_GB2312"/>
          <w:color w:val="000000"/>
          <w:kern w:val="0"/>
          <w:sz w:val="32"/>
          <w:szCs w:val="32"/>
          <w:shd w:val="clear" w:color="auto" w:fill="FFFFFF"/>
          <w:lang w:val="en-US" w:eastAsia="zh-CN" w:bidi="ar"/>
        </w:rPr>
      </w:pPr>
      <w:r>
        <w:rPr>
          <w:rFonts w:hint="eastAsia" w:ascii="仿宋_GB2312" w:hAnsi="微软雅黑" w:eastAsia="仿宋_GB2312" w:cs="仿宋_GB2312"/>
          <w:color w:val="000000"/>
          <w:kern w:val="0"/>
          <w:sz w:val="32"/>
          <w:szCs w:val="32"/>
          <w:shd w:val="clear" w:color="auto" w:fill="FFFFFF"/>
          <w:lang w:val="en-US" w:eastAsia="zh-CN" w:bidi="ar"/>
        </w:rPr>
        <w:t>县域商品和服务销售额增速只有2.75%，低于指标值0.25个百分点。主要原因是2024年，海南省社会消费品零售总额2405.61亿元，比上年下降4.2%，受全省消费品零售额下降原因，我省县域商品和服务零售额增收未达3%。</w:t>
      </w:r>
    </w:p>
    <w:p w14:paraId="59A6C4DB">
      <w:pPr>
        <w:spacing w:line="560" w:lineRule="exact"/>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二</w:t>
      </w:r>
      <w:r>
        <w:rPr>
          <w:rFonts w:hint="eastAsia" w:ascii="楷体" w:hAnsi="楷体" w:eastAsia="楷体" w:cs="楷体"/>
          <w:sz w:val="32"/>
          <w:szCs w:val="32"/>
          <w:lang w:eastAsia="zh-CN"/>
        </w:rPr>
        <w:t>）</w:t>
      </w:r>
      <w:r>
        <w:rPr>
          <w:rFonts w:hint="eastAsia" w:ascii="楷体" w:hAnsi="楷体" w:eastAsia="楷体" w:cs="楷体"/>
          <w:sz w:val="32"/>
          <w:szCs w:val="32"/>
        </w:rPr>
        <w:t>下一步</w:t>
      </w:r>
      <w:r>
        <w:rPr>
          <w:rFonts w:hint="eastAsia" w:ascii="楷体" w:hAnsi="楷体" w:eastAsia="楷体" w:cs="楷体"/>
          <w:sz w:val="32"/>
          <w:szCs w:val="32"/>
          <w:lang w:val="en-US" w:eastAsia="zh-CN"/>
        </w:rPr>
        <w:t>改进措施</w:t>
      </w:r>
    </w:p>
    <w:p w14:paraId="00DB9CA2">
      <w:pPr>
        <w:pStyle w:val="7"/>
        <w:keepNext w:val="0"/>
        <w:keepLines w:val="0"/>
        <w:widowControl w:val="0"/>
        <w:suppressLineNumbers w:val="0"/>
        <w:autoSpaceDE w:val="0"/>
        <w:autoSpaceDN/>
        <w:spacing w:line="580" w:lineRule="exact"/>
        <w:ind w:left="0" w:leftChars="0" w:firstLine="640" w:firstLineChars="200"/>
        <w:rPr>
          <w:rFonts w:hint="eastAsia" w:ascii="仿宋_GB2312" w:hAnsi="微软雅黑" w:eastAsia="仿宋_GB2312" w:cs="仿宋_GB2312"/>
          <w:color w:val="000000"/>
          <w:kern w:val="0"/>
          <w:sz w:val="32"/>
          <w:szCs w:val="32"/>
          <w:shd w:val="clear" w:color="auto" w:fill="FFFFFF"/>
        </w:rPr>
      </w:pPr>
      <w:r>
        <w:rPr>
          <w:rFonts w:hint="eastAsia" w:ascii="楷体" w:hAnsi="楷体" w:eastAsia="楷体" w:cs="楷体"/>
          <w:color w:val="000000"/>
          <w:kern w:val="0"/>
          <w:sz w:val="32"/>
          <w:szCs w:val="32"/>
          <w:shd w:val="clear" w:color="auto" w:fill="FFFFFF"/>
          <w:lang w:val="en-US" w:eastAsia="zh-CN"/>
        </w:rPr>
        <w:t>1.</w:t>
      </w:r>
      <w:r>
        <w:rPr>
          <w:rFonts w:hint="eastAsia" w:ascii="楷体" w:hAnsi="楷体" w:eastAsia="楷体" w:cs="楷体"/>
          <w:color w:val="000000"/>
          <w:kern w:val="0"/>
          <w:sz w:val="32"/>
          <w:szCs w:val="32"/>
          <w:shd w:val="clear" w:color="auto" w:fill="FFFFFF"/>
        </w:rPr>
        <w:t>做好监督考核。</w:t>
      </w:r>
      <w:r>
        <w:rPr>
          <w:rFonts w:hint="eastAsia" w:ascii="仿宋_GB2312" w:hAnsi="微软雅黑" w:eastAsia="仿宋_GB2312" w:cs="仿宋_GB2312"/>
          <w:color w:val="000000"/>
          <w:kern w:val="0"/>
          <w:sz w:val="32"/>
          <w:szCs w:val="32"/>
          <w:shd w:val="clear" w:color="auto" w:fill="FFFFFF"/>
        </w:rPr>
        <w:t>继续把县域商业建设行动纳入海南省市县党政领导班子和领导干部</w:t>
      </w:r>
      <w:r>
        <w:rPr>
          <w:rFonts w:hint="eastAsia" w:ascii="仿宋_GB2312" w:hAnsi="微软雅黑" w:eastAsia="仿宋_GB2312" w:cs="仿宋_GB2312"/>
          <w:color w:val="000000"/>
          <w:kern w:val="0"/>
          <w:sz w:val="32"/>
          <w:szCs w:val="32"/>
          <w:shd w:val="clear" w:color="auto" w:fill="FFFFFF"/>
          <w:lang w:val="en-US" w:eastAsia="zh-CN"/>
        </w:rPr>
        <w:t>综合考核</w:t>
      </w:r>
      <w:r>
        <w:rPr>
          <w:rFonts w:hint="eastAsia" w:ascii="仿宋_GB2312" w:hAnsi="微软雅黑" w:eastAsia="仿宋_GB2312" w:cs="仿宋_GB2312"/>
          <w:color w:val="000000"/>
          <w:kern w:val="0"/>
          <w:sz w:val="32"/>
          <w:szCs w:val="32"/>
          <w:shd w:val="clear" w:color="auto" w:fill="FFFFFF"/>
        </w:rPr>
        <w:t>，开展年度绩效评价工作。强化日常跟踪，每月至少赴市县督导一次，传导工作压力，帮助解决实际困难和问题。同时，建立通报机制，定期通报各市县县域商业建设行动进展、资金使用管理情况，督促市县加快资金拨付进度。</w:t>
      </w:r>
    </w:p>
    <w:p w14:paraId="1518CC41">
      <w:pPr>
        <w:pStyle w:val="7"/>
        <w:keepNext w:val="0"/>
        <w:keepLines w:val="0"/>
        <w:widowControl w:val="0"/>
        <w:suppressLineNumbers w:val="0"/>
        <w:autoSpaceDE w:val="0"/>
        <w:autoSpaceDN/>
        <w:spacing w:line="580" w:lineRule="exact"/>
        <w:ind w:left="0" w:leftChars="0" w:firstLine="640" w:firstLineChars="200"/>
        <w:rPr>
          <w:rFonts w:hint="eastAsia" w:ascii="仿宋_GB2312" w:hAnsi="微软雅黑" w:eastAsia="仿宋_GB2312" w:cs="仿宋_GB2312"/>
          <w:color w:val="000000"/>
          <w:kern w:val="0"/>
          <w:sz w:val="32"/>
          <w:szCs w:val="32"/>
          <w:shd w:val="clear" w:color="auto" w:fill="FFFFFF"/>
        </w:rPr>
      </w:pPr>
      <w:r>
        <w:rPr>
          <w:rFonts w:hint="eastAsia" w:ascii="楷体" w:hAnsi="楷体" w:eastAsia="楷体" w:cs="楷体"/>
          <w:b w:val="0"/>
          <w:bCs w:val="0"/>
          <w:color w:val="000000"/>
          <w:kern w:val="0"/>
          <w:sz w:val="32"/>
          <w:szCs w:val="32"/>
          <w:shd w:val="clear" w:color="auto" w:fill="FFFFFF"/>
          <w:lang w:val="en-US" w:eastAsia="zh-CN"/>
        </w:rPr>
        <w:t>2.</w:t>
      </w:r>
      <w:r>
        <w:rPr>
          <w:rFonts w:hint="eastAsia" w:ascii="楷体" w:hAnsi="楷体" w:eastAsia="楷体" w:cs="楷体"/>
          <w:b w:val="0"/>
          <w:bCs w:val="0"/>
          <w:color w:val="000000"/>
          <w:kern w:val="0"/>
          <w:sz w:val="32"/>
          <w:szCs w:val="32"/>
          <w:shd w:val="clear" w:color="auto" w:fill="FFFFFF"/>
        </w:rPr>
        <w:t>加强科学谋划。</w:t>
      </w:r>
      <w:r>
        <w:rPr>
          <w:rFonts w:hint="eastAsia" w:ascii="仿宋_GB2312" w:hAnsi="微软雅黑" w:eastAsia="仿宋_GB2312" w:cs="仿宋_GB2312"/>
          <w:color w:val="000000"/>
          <w:kern w:val="0"/>
          <w:sz w:val="32"/>
          <w:szCs w:val="32"/>
          <w:shd w:val="clear" w:color="auto" w:fill="FFFFFF"/>
        </w:rPr>
        <w:t xml:space="preserve">推动各级商务部门提高认识，避免出现推进县域商业体系建设只是资金安排和使用，是商务部门1个部门的工作等情况，推动各市县进一步细化明确2025年的目标任务、重点举措，对现有做法进行总结梳理，对成熟案例进行复制推广，形成本市县的特色。建立和发挥好多部门工作协调机制作用，加强部门间政策协同，共同研究解决一些重大问题。    </w:t>
      </w:r>
    </w:p>
    <w:p w14:paraId="3DFF70AB">
      <w:pPr>
        <w:keepNext w:val="0"/>
        <w:keepLines w:val="0"/>
        <w:widowControl w:val="0"/>
        <w:suppressLineNumbers w:val="0"/>
        <w:autoSpaceDE w:val="0"/>
        <w:autoSpaceDN/>
        <w:spacing w:before="0" w:beforeAutospacing="0" w:after="0" w:afterAutospacing="0" w:line="580" w:lineRule="exact"/>
        <w:ind w:right="0" w:firstLine="640" w:firstLineChars="200"/>
        <w:jc w:val="both"/>
        <w:rPr>
          <w:rFonts w:hint="eastAsia" w:ascii="仿宋_GB2312" w:hAnsi="微软雅黑" w:eastAsia="仿宋_GB2312" w:cs="仿宋_GB2312"/>
          <w:color w:val="000000"/>
          <w:kern w:val="0"/>
          <w:sz w:val="32"/>
          <w:szCs w:val="32"/>
          <w:shd w:val="clear" w:color="auto" w:fill="FFFFFF"/>
        </w:rPr>
      </w:pPr>
      <w:r>
        <w:rPr>
          <w:rFonts w:hint="eastAsia" w:ascii="楷体" w:hAnsi="楷体" w:eastAsia="楷体" w:cs="楷体"/>
          <w:b w:val="0"/>
          <w:bCs w:val="0"/>
          <w:color w:val="000000"/>
          <w:kern w:val="0"/>
          <w:sz w:val="32"/>
          <w:szCs w:val="32"/>
          <w:shd w:val="clear" w:color="auto" w:fill="FFFFFF"/>
          <w:lang w:val="en-US" w:eastAsia="zh-CN" w:bidi="ar"/>
        </w:rPr>
        <w:t>3.推动高质量发展。</w:t>
      </w:r>
      <w:r>
        <w:rPr>
          <w:rFonts w:hint="eastAsia" w:ascii="仿宋_GB2312" w:hAnsi="微软雅黑" w:eastAsia="仿宋_GB2312" w:cs="仿宋_GB2312"/>
          <w:color w:val="000000"/>
          <w:kern w:val="0"/>
          <w:sz w:val="32"/>
          <w:szCs w:val="32"/>
          <w:shd w:val="clear" w:color="auto" w:fill="FFFFFF"/>
          <w:lang w:val="en-US" w:eastAsia="zh-CN" w:bidi="ar"/>
        </w:rPr>
        <w:t>打造具有我省特色的县域商业“典型县”，推动1-2个市县入选全国县域商业“领跑县”典型案例。进一步瞄准社会资本参与意愿不足，而群众呼声比较高的领域，包装项目、开展精准招商，给予资金扶持，增强企业信心，力争在补短板、兴产业、强服务等方面取得一些突破和成绩，尽量避免与乡村振兴、发改、农业农村、旅游、工信等部门争项目。保持项目的可持续运营，坚持规模化、市场化、专业化，发挥好资金使用效益，更不能让支持的设备长期闲置。</w:t>
      </w:r>
    </w:p>
    <w:p w14:paraId="26EC94CC">
      <w:pPr>
        <w:pStyle w:val="4"/>
        <w:keepNext w:val="0"/>
        <w:keepLines w:val="0"/>
        <w:widowControl w:val="0"/>
        <w:suppressLineNumbers w:val="0"/>
        <w:autoSpaceDE w:val="0"/>
        <w:autoSpaceDN/>
        <w:spacing w:before="0" w:beforeAutospacing="0" w:after="0" w:afterAutospacing="0" w:line="580" w:lineRule="exact"/>
        <w:ind w:left="0" w:right="0" w:firstLine="640" w:firstLineChars="200"/>
        <w:jc w:val="both"/>
        <w:rPr>
          <w:rFonts w:hint="eastAsia" w:ascii="仿宋_GB2312" w:eastAsia="仿宋_GB2312" w:cs="仿宋_GB2312"/>
          <w:b w:val="0"/>
          <w:bCs w:val="0"/>
          <w:kern w:val="2"/>
          <w:sz w:val="32"/>
          <w:szCs w:val="32"/>
        </w:rPr>
      </w:pPr>
      <w:r>
        <w:rPr>
          <w:rFonts w:hint="eastAsia" w:ascii="楷体" w:hAnsi="楷体" w:eastAsia="楷体" w:cs="楷体"/>
          <w:b w:val="0"/>
          <w:bCs w:val="0"/>
          <w:color w:val="000000"/>
          <w:kern w:val="0"/>
          <w:sz w:val="32"/>
          <w:szCs w:val="32"/>
          <w:shd w:val="clear" w:color="auto" w:fill="FFFFFF"/>
          <w:lang w:val="en-US" w:eastAsia="zh-CN"/>
        </w:rPr>
        <w:t>4.</w:t>
      </w:r>
      <w:r>
        <w:rPr>
          <w:rFonts w:hint="eastAsia" w:ascii="楷体" w:hAnsi="楷体" w:eastAsia="楷体" w:cs="楷体"/>
          <w:b w:val="0"/>
          <w:bCs w:val="0"/>
          <w:color w:val="000000"/>
          <w:kern w:val="0"/>
          <w:sz w:val="32"/>
          <w:szCs w:val="32"/>
          <w:shd w:val="clear" w:color="auto" w:fill="FFFFFF"/>
        </w:rPr>
        <w:t>规范项目资金管理。</w:t>
      </w:r>
      <w:r>
        <w:rPr>
          <w:rFonts w:hint="eastAsia" w:ascii="仿宋_GB2312" w:eastAsia="仿宋_GB2312" w:cs="仿宋_GB2312"/>
          <w:b w:val="0"/>
          <w:bCs w:val="0"/>
          <w:kern w:val="2"/>
          <w:sz w:val="32"/>
          <w:szCs w:val="32"/>
        </w:rPr>
        <w:t>推动各市县严格对照《海南省县域商业体系建设行动项目资金管理办法（暂行）》要求，建立健全项目申报、项目论证和评审、项目日常监督、项目验收和资金拨付的机制，确保申报主体合格、项目可行、资金支出合规。推动各市县在资金使用全过程中引入审计、监理咨询等第三方机构，加强资金决策、拨付、使用等环节审核，确保手续完整、账实相符。进一步加强县域商业建设行动与电子商务进综合示范、农产品供应链体系建设以及发展改革、农业农村等单位相关资金的衔接，发挥各自优势，避免重复建设。同时，加强资金拨付后的监管，明确资产权属和管护责任，依法依规整合、处置和盘活资产形成管护运营长效机制。</w:t>
      </w:r>
    </w:p>
    <w:p w14:paraId="1C2F16E8">
      <w:pPr>
        <w:pStyle w:val="4"/>
        <w:keepNext w:val="0"/>
        <w:keepLines w:val="0"/>
        <w:widowControl w:val="0"/>
        <w:suppressLineNumbers w:val="0"/>
        <w:autoSpaceDE w:val="0"/>
        <w:autoSpaceDN/>
        <w:spacing w:before="0" w:beforeAutospacing="0" w:after="0" w:afterAutospacing="0" w:line="580" w:lineRule="exact"/>
        <w:ind w:right="0" w:firstLine="640" w:firstLineChars="200"/>
        <w:jc w:val="both"/>
        <w:rPr>
          <w:rFonts w:hint="eastAsia" w:ascii="仿宋_GB2312" w:eastAsia="仿宋_GB2312" w:cs="仿宋_GB2312"/>
          <w:b w:val="0"/>
          <w:bCs w:val="0"/>
          <w:kern w:val="2"/>
          <w:sz w:val="32"/>
          <w:szCs w:val="32"/>
        </w:rPr>
      </w:pPr>
      <w:r>
        <w:rPr>
          <w:rFonts w:hint="eastAsia" w:ascii="楷体" w:hAnsi="楷体" w:eastAsia="楷体" w:cs="楷体"/>
          <w:b w:val="0"/>
          <w:bCs w:val="0"/>
          <w:kern w:val="2"/>
          <w:sz w:val="32"/>
          <w:szCs w:val="32"/>
          <w:lang w:val="en-US" w:eastAsia="zh-CN"/>
        </w:rPr>
        <w:t>5.</w:t>
      </w:r>
      <w:r>
        <w:rPr>
          <w:rFonts w:hint="eastAsia" w:ascii="楷体" w:hAnsi="楷体" w:eastAsia="楷体" w:cs="楷体"/>
          <w:b w:val="0"/>
          <w:bCs w:val="0"/>
          <w:kern w:val="2"/>
          <w:sz w:val="32"/>
          <w:szCs w:val="32"/>
          <w:lang w:val="en-US" w:eastAsia="zh-CN" w:bidi="ar"/>
        </w:rPr>
        <w:t>加强</w:t>
      </w:r>
      <w:r>
        <w:rPr>
          <w:rFonts w:hint="eastAsia" w:ascii="楷体" w:hAnsi="楷体" w:eastAsia="楷体" w:cs="楷体"/>
          <w:b w:val="0"/>
          <w:bCs w:val="0"/>
          <w:color w:val="000000"/>
          <w:kern w:val="0"/>
          <w:sz w:val="32"/>
          <w:szCs w:val="32"/>
          <w:shd w:val="clear" w:color="auto" w:fill="FFFFFF"/>
          <w:lang w:val="en-US" w:eastAsia="zh-CN" w:bidi="ar"/>
        </w:rPr>
        <w:t>政策宣贯力度。</w:t>
      </w:r>
      <w:r>
        <w:rPr>
          <w:rFonts w:hint="eastAsia" w:ascii="仿宋_GB2312" w:hAnsi="Calibri" w:eastAsia="仿宋_GB2312" w:cs="仿宋_GB2312"/>
          <w:b w:val="0"/>
          <w:bCs w:val="0"/>
          <w:kern w:val="2"/>
          <w:sz w:val="32"/>
          <w:szCs w:val="32"/>
          <w:lang w:val="en-US" w:eastAsia="zh-CN" w:bidi="ar"/>
        </w:rPr>
        <w:t>充分调动乡镇、园区、企业、群众积极性，鼓励探索创新，及时总结推广好经验好做法。加大县域商业政策的宣传，制作了一些宣传海报、宣传视频。推动各市县借助多种渠道，尤其是发挥市县融媒体中心主流媒体的引导作用，借助于本地政府部门、企业、网红的公众号，宣传县域商业政策，宣传县域商业建设中企业、乡镇的典型做法，增强典型示范作用，提高县域商业三年行动的社会认知度。</w:t>
      </w:r>
    </w:p>
    <w:p w14:paraId="7CEC70A1">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640" w:leftChars="0" w:firstLine="0" w:firstLineChars="0"/>
        <w:jc w:val="both"/>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绩效自评结果拟应用和公开情况</w:t>
      </w:r>
    </w:p>
    <w:p w14:paraId="11F5576F">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pPr>
      <w:r>
        <w:rPr>
          <w:rFonts w:hint="default" w:ascii="黑体" w:hAnsi="黑体" w:eastAsia="黑体" w:cs="黑体"/>
          <w:sz w:val="32"/>
          <w:szCs w:val="32"/>
          <w:lang w:val="en-US" w:eastAsia="zh-CN"/>
        </w:rPr>
        <w:t xml:space="preserve">    </w:t>
      </w:r>
      <w:r>
        <w:rPr>
          <w:rFonts w:hint="eastAsia" w:ascii="仿宋_GB2312" w:hAnsi="仿宋_GB2312" w:eastAsia="仿宋_GB2312" w:cs="仿宋_GB2312"/>
          <w:sz w:val="32"/>
          <w:szCs w:val="32"/>
          <w:lang w:val="en-US" w:eastAsia="zh-CN"/>
        </w:rPr>
        <w:t>根据绩效自评结果，及时发现县域商业体系建设过程中存在的问题，即时整改，从而提高业务管理水平。</w:t>
      </w:r>
    </w:p>
    <w:sectPr>
      <w:footerReference r:id="rId3" w:type="default"/>
      <w:pgSz w:w="11906" w:h="16838"/>
      <w:pgMar w:top="2098" w:right="1587" w:bottom="2098" w:left="1587"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2163BD">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1D28B3">
                          <w:pPr>
                            <w:pStyle w:val="3"/>
                            <w:rPr>
                              <w:rFonts w:hint="eastAsia" w:asciiTheme="minorEastAsia" w:hAnsiTheme="minorEastAsia" w:cstheme="minorEastAsia"/>
                              <w:sz w:val="28"/>
                              <w:szCs w:val="28"/>
                            </w:rPr>
                          </w:pP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  \* MERGEFORMAT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w:t>
                          </w:r>
                          <w:r>
                            <w:rPr>
                              <w:rFonts w:hint="eastAsia" w:asciiTheme="minorEastAsia" w:hAnsi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51D28B3">
                    <w:pPr>
                      <w:pStyle w:val="3"/>
                      <w:rPr>
                        <w:rFonts w:hint="eastAsia" w:asciiTheme="minorEastAsia" w:hAnsiTheme="minorEastAsia" w:cstheme="minorEastAsia"/>
                        <w:sz w:val="28"/>
                        <w:szCs w:val="28"/>
                      </w:rPr>
                    </w:pP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  \* MERGEFORMAT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w:t>
                    </w:r>
                    <w:r>
                      <w:rPr>
                        <w:rFonts w:hint="eastAsia" w:asciiTheme="minorEastAsia" w:hAnsiTheme="minorEastAsia" w:cstheme="minor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D7E5B1"/>
    <w:multiLevelType w:val="singleLevel"/>
    <w:tmpl w:val="FED7E5B1"/>
    <w:lvl w:ilvl="0" w:tentative="0">
      <w:start w:val="1"/>
      <w:numFmt w:val="chineseCounting"/>
      <w:suff w:val="nothing"/>
      <w:lvlText w:val="%1、"/>
      <w:lvlJc w:val="left"/>
      <w:pPr>
        <w:ind w:left="640" w:leftChars="0" w:firstLine="0" w:firstLineChars="0"/>
      </w:pPr>
      <w:rPr>
        <w:rFonts w:hint="eastAsia"/>
      </w:rPr>
    </w:lvl>
  </w:abstractNum>
  <w:abstractNum w:abstractNumId="1">
    <w:nsid w:val="08C0EAE5"/>
    <w:multiLevelType w:val="singleLevel"/>
    <w:tmpl w:val="08C0EAE5"/>
    <w:lvl w:ilvl="0" w:tentative="0">
      <w:start w:val="1"/>
      <w:numFmt w:val="chineseCounting"/>
      <w:suff w:val="nothing"/>
      <w:lvlText w:val="（%1）"/>
      <w:lvlJc w:val="left"/>
      <w:pPr>
        <w:ind w:left="640" w:leftChars="0" w:firstLine="0" w:firstLineChars="0"/>
      </w:pPr>
      <w:rPr>
        <w:rFonts w:hint="eastAsia"/>
      </w:rPr>
    </w:lvl>
  </w:abstractNum>
  <w:abstractNum w:abstractNumId="2">
    <w:nsid w:val="3BD3E7B0"/>
    <w:multiLevelType w:val="singleLevel"/>
    <w:tmpl w:val="3BD3E7B0"/>
    <w:lvl w:ilvl="0" w:tentative="0">
      <w:start w:val="1"/>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540C8B"/>
    <w:rsid w:val="00B9653C"/>
    <w:rsid w:val="01511039"/>
    <w:rsid w:val="13374BE0"/>
    <w:rsid w:val="2BFE2C3D"/>
    <w:rsid w:val="2D455264"/>
    <w:rsid w:val="394865B9"/>
    <w:rsid w:val="3E171CB9"/>
    <w:rsid w:val="40EF6094"/>
    <w:rsid w:val="42EB2656"/>
    <w:rsid w:val="51785239"/>
    <w:rsid w:val="51B45241"/>
    <w:rsid w:val="53674715"/>
    <w:rsid w:val="5D530128"/>
    <w:rsid w:val="60D26DE5"/>
    <w:rsid w:val="67540C8B"/>
    <w:rsid w:val="6D8B290E"/>
    <w:rsid w:val="7A3051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footer"/>
    <w:basedOn w:val="1"/>
    <w:qFormat/>
    <w:uiPriority w:val="0"/>
    <w:pPr>
      <w:tabs>
        <w:tab w:val="center" w:pos="4153"/>
        <w:tab w:val="right" w:pos="8306"/>
      </w:tabs>
      <w:snapToGrid w:val="0"/>
      <w:jc w:val="left"/>
    </w:pPr>
    <w:rPr>
      <w:sz w:val="18"/>
    </w:rPr>
  </w:style>
  <w:style w:type="paragraph" w:styleId="4">
    <w:name w:val="Title"/>
    <w:basedOn w:val="1"/>
    <w:qFormat/>
    <w:uiPriority w:val="0"/>
    <w:pPr>
      <w:keepNext w:val="0"/>
      <w:keepLines w:val="0"/>
      <w:widowControl w:val="0"/>
      <w:suppressLineNumbers w:val="0"/>
      <w:spacing w:before="240" w:beforeAutospacing="0" w:after="60" w:afterAutospacing="0"/>
      <w:jc w:val="center"/>
      <w:outlineLvl w:val="0"/>
    </w:pPr>
    <w:rPr>
      <w:rFonts w:hint="default" w:ascii="Cambria" w:hAnsi="Cambria" w:eastAsia="宋体" w:cs="Times New Roman"/>
      <w:b/>
      <w:bCs/>
      <w:kern w:val="2"/>
      <w:sz w:val="21"/>
      <w:szCs w:val="21"/>
      <w:lang w:val="en-US" w:eastAsia="zh-CN" w:bidi="ar"/>
    </w:rPr>
  </w:style>
  <w:style w:type="paragraph" w:customStyle="1" w:styleId="7">
    <w:name w:val="报告正文"/>
    <w:basedOn w:val="1"/>
    <w:qFormat/>
    <w:uiPriority w:val="0"/>
    <w:pPr>
      <w:ind w:firstLine="200"/>
    </w:pPr>
    <w:rPr>
      <w:rFonts w:ascii="Calibri" w:hAnsi="Calibri" w:eastAsia="宋体" w:cs="宋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3633</Words>
  <Characters>3828</Characters>
  <Lines>0</Lines>
  <Paragraphs>0</Paragraphs>
  <TotalTime>30</TotalTime>
  <ScaleCrop>false</ScaleCrop>
  <LinksUpToDate>false</LinksUpToDate>
  <CharactersWithSpaces>3839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2025-03-20T06:22:00Z</dcterms:created>
  <dc:creator>美女</dc:creator>
  <cp:lastModifiedBy>一呀一呀哟</cp:lastModifiedBy>
  <cp:lastPrinted>2025-03-20T07:33:00Z</cp:lastPrinted>
  <dcterms:modified xsi:type="dcterms:W3CDTF">2025-07-29T01:51:23Z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4B783D39CDC84489A6E4BEBEBCE8E90D_13</vt:lpwstr>
  </property>
  <property fmtid="{D5CDD505-2E9C-101B-9397-08002B2CF9AE}" pid="4" name="KSOTemplateDocerSaveRecord">
    <vt:lpwstr>eyJoZGlkIjoiZjg3MWU3MjFlMzY2ZGQ5MmE2MjZkMzZlOTRlMjg0ZjEiLCJ1c2VySWQiOiIxMzExMjMyODY3In0=</vt:lpwstr>
  </property>
</Properties>
</file>