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left"/>
        <w:textAlignment w:val="auto"/>
        <w:rPr>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b/>
          <w:sz w:val="44"/>
          <w:szCs w:val="44"/>
        </w:rPr>
      </w:pPr>
      <w:r>
        <w:rPr>
          <w:rFonts w:hint="eastAsia" w:ascii="宋体" w:hAnsi="宋体"/>
          <w:b/>
          <w:sz w:val="44"/>
          <w:szCs w:val="44"/>
          <w:lang w:eastAsia="zh-CN"/>
        </w:rPr>
        <w:t>招商与推介项目</w:t>
      </w:r>
      <w:r>
        <w:rPr>
          <w:rFonts w:hint="eastAsia" w:ascii="宋体" w:hAnsi="宋体" w:eastAsia="宋体"/>
          <w:b/>
          <w:sz w:val="44"/>
          <w:szCs w:val="44"/>
        </w:rPr>
        <w:t>支出项目绩效自评报告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b/>
          <w:sz w:val="44"/>
          <w:szCs w:val="44"/>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通过招商活动策划、对企业进行自贸港政策和招商宣传推介，开展点对点招商，促进投资合作、引进项目，达成合作。</w:t>
      </w:r>
    </w:p>
    <w:p>
      <w:pPr>
        <w:keepNext w:val="0"/>
        <w:keepLines w:val="0"/>
        <w:pageBreakBefore w:val="0"/>
        <w:kinsoku/>
        <w:wordWrap/>
        <w:overflowPunct/>
        <w:topLinePunct w:val="0"/>
        <w:autoSpaceDE/>
        <w:autoSpaceDN/>
        <w:bidi w:val="0"/>
        <w:adjustRightInd/>
        <w:snapToGrid/>
        <w:spacing w:line="560" w:lineRule="exact"/>
        <w:textAlignment w:val="auto"/>
        <w:rPr>
          <w:rFonts w:hint="eastAsia"/>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二、项目决策及资金使用情况</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（一）项目资金到位情况</w:t>
      </w:r>
    </w:p>
    <w:p>
      <w:pPr>
        <w:keepNext w:val="0"/>
        <w:keepLines w:val="0"/>
        <w:pageBreakBefore w:val="0"/>
        <w:widowControl/>
        <w:numPr>
          <w:ilvl w:val="0"/>
          <w:numId w:val="0"/>
        </w:numPr>
        <w:kinsoku/>
        <w:wordWrap/>
        <w:overflowPunct/>
        <w:topLinePunct w:val="0"/>
        <w:autoSpaceDE/>
        <w:autoSpaceDN/>
        <w:bidi w:val="0"/>
        <w:adjustRightInd/>
        <w:snapToGrid/>
        <w:spacing w:before="0" w:line="560" w:lineRule="exact"/>
        <w:ind w:left="0" w:leftChars="0" w:right="0" w:rightChars="0" w:firstLine="640" w:firstLineChars="200"/>
        <w:jc w:val="left"/>
        <w:textAlignment w:val="auto"/>
        <w:outlineLvl w:val="9"/>
        <w:rPr>
          <w:rFonts w:hint="eastAsia" w:ascii="仿宋_GB2312" w:hAnsi="仿宋_GB2312" w:eastAsia="仿宋_GB2312" w:cs="仿宋"/>
          <w:b w:val="0"/>
          <w:bCs w:val="0"/>
          <w:sz w:val="32"/>
          <w:szCs w:val="32"/>
          <w:lang w:val="en-US" w:eastAsia="zh-CN"/>
        </w:rPr>
      </w:pPr>
      <w:r>
        <w:rPr>
          <w:rFonts w:hint="eastAsia" w:ascii="仿宋_GB2312" w:hAnsi="仿宋_GB2312" w:eastAsia="仿宋_GB2312" w:cs="仿宋"/>
          <w:b w:val="0"/>
          <w:bCs w:val="0"/>
          <w:sz w:val="32"/>
          <w:szCs w:val="32"/>
          <w:lang w:val="en-US" w:eastAsia="zh-CN"/>
        </w:rPr>
        <w:t>年初预算</w:t>
      </w:r>
      <w:r>
        <w:rPr>
          <w:rFonts w:hint="eastAsia" w:ascii="仿宋_GB2312" w:hAnsi="仿宋_GB2312" w:eastAsia="仿宋_GB2312" w:cs="仿宋"/>
          <w:b w:val="0"/>
          <w:bCs w:val="0"/>
          <w:sz w:val="32"/>
          <w:szCs w:val="32"/>
          <w:lang w:val="en-US" w:eastAsia="zh"/>
        </w:rPr>
        <w:t>1409</w:t>
      </w:r>
      <w:r>
        <w:rPr>
          <w:rFonts w:hint="eastAsia" w:ascii="仿宋_GB2312" w:hAnsi="仿宋_GB2312" w:eastAsia="仿宋_GB2312" w:cs="仿宋"/>
          <w:b w:val="0"/>
          <w:bCs w:val="0"/>
          <w:sz w:val="32"/>
          <w:szCs w:val="32"/>
          <w:lang w:val="en-US" w:eastAsia="zh-CN"/>
        </w:rPr>
        <w:t>.</w:t>
      </w:r>
      <w:r>
        <w:rPr>
          <w:rFonts w:hint="eastAsia" w:ascii="仿宋_GB2312" w:hAnsi="仿宋_GB2312" w:eastAsia="仿宋_GB2312" w:cs="仿宋"/>
          <w:b w:val="0"/>
          <w:bCs w:val="0"/>
          <w:sz w:val="32"/>
          <w:szCs w:val="32"/>
          <w:lang w:val="en-US" w:eastAsia="zh"/>
        </w:rPr>
        <w:t>2465</w:t>
      </w:r>
      <w:r>
        <w:rPr>
          <w:rFonts w:hint="eastAsia" w:ascii="仿宋_GB2312" w:hAnsi="仿宋_GB2312" w:eastAsia="仿宋_GB2312" w:cs="仿宋"/>
          <w:b w:val="0"/>
          <w:bCs w:val="0"/>
          <w:sz w:val="32"/>
          <w:szCs w:val="32"/>
          <w:lang w:val="en-US" w:eastAsia="zh-CN"/>
        </w:rPr>
        <w:t>万元，</w:t>
      </w:r>
      <w:r>
        <w:rPr>
          <w:rFonts w:hint="eastAsia" w:ascii="仿宋_GB2312" w:hAnsi="仿宋_GB2312" w:eastAsia="仿宋_GB2312" w:cs="仿宋"/>
          <w:sz w:val="32"/>
          <w:szCs w:val="32"/>
        </w:rPr>
        <w:t>资金到位率</w:t>
      </w:r>
      <w:r>
        <w:rPr>
          <w:rFonts w:hint="eastAsia" w:ascii="仿宋_GB2312" w:hAnsi="仿宋_GB2312" w:eastAsia="仿宋_GB2312" w:cs="仿宋"/>
          <w:sz w:val="32"/>
          <w:szCs w:val="32"/>
          <w:lang w:val="en-US" w:eastAsia="zh"/>
        </w:rPr>
        <w:t>100</w:t>
      </w:r>
      <w:r>
        <w:rPr>
          <w:rFonts w:hint="eastAsia" w:ascii="仿宋_GB2312" w:hAnsi="仿宋_GB2312" w:eastAsia="仿宋_GB2312" w:cs="仿宋"/>
          <w:sz w:val="32"/>
          <w:szCs w:val="32"/>
        </w:rPr>
        <w:t>%。</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（二）项目资金使用情况分析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olor w:val="auto"/>
          <w:sz w:val="32"/>
          <w:szCs w:val="32"/>
        </w:rPr>
      </w:pPr>
      <w:r>
        <w:rPr>
          <w:rFonts w:hint="eastAsia" w:ascii="仿宋_GB2312" w:hAnsi="仿宋_GB2312" w:eastAsia="仿宋_GB2312" w:cs="仿宋"/>
          <w:b w:val="0"/>
          <w:bCs w:val="0"/>
          <w:sz w:val="32"/>
          <w:szCs w:val="32"/>
          <w:lang w:val="en-US" w:eastAsia="zh-CN"/>
        </w:rPr>
        <w:t>截止2025年12月31日,项目实际使用资金1138万元，资金使用率</w:t>
      </w:r>
      <w:r>
        <w:rPr>
          <w:rFonts w:hint="eastAsia" w:ascii="仿宋_GB2312" w:hAnsi="仿宋_GB2312" w:eastAsia="仿宋_GB2312" w:cs="仿宋"/>
          <w:b w:val="0"/>
          <w:bCs w:val="0"/>
          <w:sz w:val="32"/>
          <w:szCs w:val="32"/>
          <w:lang w:val="en-US" w:eastAsia="zh"/>
        </w:rPr>
        <w:t>8</w:t>
      </w:r>
      <w:r>
        <w:rPr>
          <w:rFonts w:hint="eastAsia" w:ascii="仿宋_GB2312" w:hAnsi="仿宋_GB2312" w:eastAsia="仿宋_GB2312" w:cs="仿宋"/>
          <w:b w:val="0"/>
          <w:bCs w:val="0"/>
          <w:sz w:val="32"/>
          <w:szCs w:val="32"/>
          <w:lang w:val="en-US" w:eastAsia="zh-CN"/>
        </w:rPr>
        <w:t>0</w:t>
      </w:r>
      <w:r>
        <w:rPr>
          <w:rFonts w:hint="eastAsia" w:ascii="仿宋_GB2312" w:hAnsi="仿宋_GB2312" w:eastAsia="仿宋_GB2312" w:cs="仿宋"/>
          <w:b w:val="0"/>
          <w:bCs w:val="0"/>
          <w:sz w:val="32"/>
          <w:szCs w:val="32"/>
          <w:lang w:val="en-US" w:eastAsia="zh"/>
        </w:rPr>
        <w:t>.</w:t>
      </w:r>
      <w:r>
        <w:rPr>
          <w:rFonts w:hint="eastAsia" w:ascii="仿宋_GB2312" w:hAnsi="仿宋_GB2312" w:eastAsia="仿宋_GB2312" w:cs="仿宋"/>
          <w:b w:val="0"/>
          <w:bCs w:val="0"/>
          <w:sz w:val="32"/>
          <w:szCs w:val="32"/>
          <w:lang w:val="en-US" w:eastAsia="zh-CN"/>
        </w:rPr>
        <w:t>77%。</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（三）项目资金管理情况</w:t>
      </w:r>
    </w:p>
    <w:p>
      <w:pPr>
        <w:keepNext w:val="0"/>
        <w:keepLines w:val="0"/>
        <w:pageBreakBefore w:val="0"/>
        <w:widowControl w:val="0"/>
        <w:kinsoku/>
        <w:wordWrap/>
        <w:overflowPunct/>
        <w:topLinePunct w:val="0"/>
        <w:autoSpaceDE/>
        <w:autoSpaceDN/>
        <w:bidi w:val="0"/>
        <w:adjustRightInd/>
        <w:snapToGrid/>
        <w:spacing w:before="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lang w:val="en-US" w:eastAsia="zh-CN"/>
        </w:rPr>
        <w:t>项目资金管理均严格按照省有关会议、培训、差旅的标准和《海南省商务厅财务统一管理试行办法》、《海南省商务厅机关经费支出管理暂行规定》等内控制度执行，账务由省财政国库支付局会计核算站集中核算。项目实施由相</w:t>
      </w:r>
      <w:r>
        <w:rPr>
          <w:rFonts w:hint="eastAsia" w:ascii="方正仿宋_GBK" w:hAnsi="方正仿宋_GBK" w:eastAsia="方正仿宋_GBK" w:cs="方正仿宋_GBK"/>
          <w:color w:val="auto"/>
          <w:kern w:val="0"/>
          <w:sz w:val="32"/>
          <w:szCs w:val="32"/>
          <w:highlight w:val="none"/>
          <w:lang w:eastAsia="zh-CN"/>
        </w:rPr>
        <w:t>关处室按照工作进度上报用款计划，财务部门审核，领导审签，会计核算站审核，经过层层把关，严格落实财务制度，保证资金支付安全、合规、合法，保证资金专款专用。</w:t>
      </w:r>
      <w:r>
        <w:rPr>
          <w:rFonts w:hint="eastAsia" w:ascii="方正仿宋_GBK" w:hAnsi="方正仿宋_GBK" w:eastAsia="方正仿宋_GBK" w:cs="方正仿宋_GBK"/>
          <w:color w:val="auto"/>
          <w:kern w:val="0"/>
          <w:sz w:val="32"/>
          <w:szCs w:val="32"/>
          <w:highlight w:val="none"/>
          <w:lang w:val="en-US" w:eastAsia="zh-CN"/>
        </w:rPr>
        <w:t>此次绩效评价过程中未发现有截留、挤占或挪用项目资金的情况。</w:t>
      </w:r>
    </w:p>
    <w:p>
      <w:pPr>
        <w:keepNext w:val="0"/>
        <w:keepLines w:val="0"/>
        <w:pageBreakBefore w:val="0"/>
        <w:kinsoku/>
        <w:wordWrap/>
        <w:overflowPunct/>
        <w:topLinePunct w:val="0"/>
        <w:autoSpaceDE/>
        <w:autoSpaceDN/>
        <w:bidi w:val="0"/>
        <w:adjustRightInd/>
        <w:snapToGrid/>
        <w:spacing w:line="560" w:lineRule="exact"/>
        <w:textAlignment w:val="auto"/>
        <w:rPr>
          <w:rFonts w:hint="eastAsia"/>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三、项目组织实施情况</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组织的各类招商活动均采用服务采购模式，根据海南省省级政府集中采购目录及标准及我厅政府采购有关规定，达到政府采购限额标准的项目，按照政府采购程序择优确定承办单位；政府采购限额标准以下的项目，按我厅内控制度确定承办单位。由厅主要领导或主要领导授权分管领导与供应商签订采购合同，并严格按照合同执行。</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outlineLvl w:val="0"/>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（二）项目管理情况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每个项目指定专人负责。项目负责人具体负责制定工作方案、申报预算、办理出境手续、办理第三方采购和财务报账等等。项目结束后，除项目负责人保存项目的纸质版和电子版材料外，同时也指派处内资料管理员统一保存项目的纸质版和电子版资料，以备今后查找。</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bCs/>
          <w:color w:val="auto"/>
          <w:sz w:val="32"/>
          <w:szCs w:val="32"/>
          <w:lang w:eastAsia="zh-CN"/>
        </w:rPr>
      </w:pPr>
      <w:r>
        <w:rPr>
          <w:rFonts w:hint="eastAsia"/>
          <w:sz w:val="32"/>
          <w:szCs w:val="32"/>
          <w:lang w:eastAsia="zh-CN"/>
        </w:rPr>
        <w:t xml:space="preserve">    </w:t>
      </w:r>
      <w:r>
        <w:rPr>
          <w:rFonts w:hint="eastAsia" w:ascii="黑体" w:hAnsi="黑体" w:eastAsia="黑体" w:cs="黑体"/>
          <w:bCs/>
          <w:color w:val="auto"/>
          <w:sz w:val="32"/>
          <w:szCs w:val="32"/>
          <w:lang w:eastAsia="zh-CN"/>
        </w:rPr>
        <w:t>四、项目绩效情况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
          <w:sz w:val="32"/>
          <w:szCs w:val="32"/>
          <w:lang w:val="en-US" w:eastAsia="zh-CN"/>
        </w:rPr>
      </w:pPr>
      <w:r>
        <w:rPr>
          <w:rFonts w:hint="eastAsia" w:ascii="仿宋_GB2312" w:hAnsi="仿宋_GB2312" w:eastAsia="仿宋_GB2312" w:cs="仿宋"/>
          <w:sz w:val="32"/>
          <w:szCs w:val="32"/>
          <w:lang w:val="en-US" w:eastAsia="zh-CN"/>
        </w:rPr>
        <w:t>202</w:t>
      </w:r>
      <w:r>
        <w:rPr>
          <w:rFonts w:hint="eastAsia" w:ascii="仿宋_GB2312" w:hAnsi="仿宋_GB2312" w:eastAsia="仿宋_GB2312" w:cs="仿宋"/>
          <w:sz w:val="32"/>
          <w:szCs w:val="32"/>
          <w:lang w:val="en-US" w:eastAsia="zh"/>
        </w:rPr>
        <w:t>5</w:t>
      </w:r>
      <w:r>
        <w:rPr>
          <w:rFonts w:hint="eastAsia" w:ascii="仿宋_GB2312" w:hAnsi="仿宋_GB2312" w:eastAsia="仿宋_GB2312" w:cs="仿宋"/>
          <w:sz w:val="32"/>
          <w:szCs w:val="32"/>
          <w:lang w:val="en-US" w:eastAsia="zh-CN"/>
        </w:rPr>
        <w:t>年，根据工作安排，通过在境内外举办招商推介活动，举办多场招商推介活动，收集合作意向。通过组织参加境内外招商宣传推介活动280场，对境内外不少于650家企业宣介自贸港政策红利，达到推动市县（园区）和企业签约613家，达成合作意向408个，推动签约项目落地率至少57.88%。</w:t>
      </w:r>
      <w:bookmarkStart w:id="0" w:name="_GoBack"/>
      <w:bookmarkEnd w:id="0"/>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firstLine="640"/>
        <w:contextualSpacing/>
        <w:textAlignment w:val="auto"/>
        <w:rPr>
          <w:rFonts w:hint="eastAsia" w:ascii="仿宋_GB2312" w:hAnsi="仿宋_GB2312" w:eastAsia="仿宋_GB2312" w:cs="仿宋_GB2312"/>
          <w:sz w:val="32"/>
          <w:lang w:val="en-US" w:eastAsia="zh-CN"/>
        </w:rPr>
      </w:pPr>
      <w:r>
        <w:rPr>
          <w:rFonts w:hint="eastAsia" w:ascii="楷体" w:hAnsi="楷体" w:eastAsia="楷体" w:cs="楷体"/>
          <w:b/>
          <w:bCs/>
          <w:color w:val="auto"/>
          <w:kern w:val="2"/>
          <w:sz w:val="32"/>
          <w:szCs w:val="32"/>
          <w:lang w:val="en-US" w:eastAsia="zh-CN" w:bidi="ar-SA"/>
        </w:rPr>
        <w:t>（一）加大招商引资工作力度。</w:t>
      </w:r>
      <w:r>
        <w:rPr>
          <w:rFonts w:hint="eastAsia" w:ascii="仿宋_GB2312" w:hAnsi="仿宋_GB2312" w:eastAsia="仿宋_GB2312" w:cs="仿宋_GB2312"/>
          <w:sz w:val="32"/>
          <w:lang w:val="en-US" w:eastAsia="zh-CN"/>
        </w:rPr>
        <w:t>“大投促、大贸促”格局加快成型。制定《进一步优化提升全省招商引资体系的工作机制》，组建12个产业推进专班，建立“省级统筹、市县主战”联动机制。废止</w:t>
      </w:r>
      <w:r>
        <w:rPr>
          <w:rFonts w:hint="eastAsia" w:ascii="仿宋_GB2312" w:hAnsi="仿宋_GB2312" w:eastAsia="仿宋_GB2312" w:cs="仿宋_GB2312"/>
          <w:sz w:val="32"/>
          <w:lang w:eastAsia="zh-CN"/>
        </w:rPr>
        <w:t>省</w:t>
      </w:r>
      <w:r>
        <w:rPr>
          <w:rFonts w:hint="eastAsia" w:ascii="仿宋_GB2312" w:hAnsi="仿宋_GB2312" w:eastAsia="仿宋_GB2312" w:cs="仿宋_GB2312"/>
          <w:sz w:val="32"/>
          <w:lang w:val="en-US" w:eastAsia="zh-CN"/>
        </w:rPr>
        <w:t>招商联席会议关于涉及100亩以上土地项目审议制度，进一步</w:t>
      </w:r>
      <w:r>
        <w:rPr>
          <w:rFonts w:hint="eastAsia" w:ascii="仿宋_GB2312" w:hAnsi="仿宋_GB2312" w:eastAsia="仿宋_GB2312" w:cs="仿宋_GB2312"/>
          <w:sz w:val="32"/>
          <w:lang w:eastAsia="zh-CN"/>
        </w:rPr>
        <w:t>落实</w:t>
      </w:r>
      <w:r>
        <w:rPr>
          <w:rFonts w:hint="eastAsia" w:ascii="仿宋_GB2312" w:hAnsi="仿宋_GB2312" w:eastAsia="仿宋_GB2312" w:cs="仿宋_GB2312"/>
          <w:sz w:val="32"/>
          <w:lang w:val="en-US" w:eastAsia="zh-CN"/>
        </w:rPr>
        <w:t>市县招商主体责任。研究建立“五张清单”项目管理推进工作机制、全省招商引资问题快速解决的工作机制等。招商活动平台迈向国际化。全年举办招商活动280场，其中高规格国际招商活动超12场，特别是成功举办“投资中国”•2025年海南自贸港全球产业招商大会，国家副主席韩正出席并致辞，76家世界500强、中企500强、民企500强企业高管率团出席，大会促成签约项目265个，签约金额2336亿元。截至2025年底，已开工建设项目114个、总签约金额约1215.6亿元。签约项目质效提升。全年全省招商签约项目613个，签约总金额2569亿元，增长18.6%；纳统金额733.2亿元，增长17.5%，在固投占比达22.4%，高于2024年6.7个百分点。省领导牵头联系的招商项目进展显著。省领导牵头18个招商项目中（含9个外资项目），5个项目已落地展业或开工建设，12个项目取得实质性进展。“链长制”招商成效明显。全年共签约68个项目、总投资约286.2亿元。租赁、航天、石化新材料等产业链引资规模领先，其中租赁产业超百亿元。总部经济基本成势。总部企业新增19家，增长17%。项目策划提质提量。聚焦石化新材料、生物医药、航天、低空等重点产业，充分利用自贸港核心政策、应用场景和要素资源，分批谋划包装并发布了400余个项目、总投资约4600亿元，目前已促成项目48个，签约金额186亿元。“中央厨房” 政策解读机制成效显著。一站式政策查询解读平台提供中英文服务，上线运营半年来，访问量达5.4万人次，用户每次平均使用时长约24分，47.9%的访问用户来自岛外。</w:t>
      </w:r>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firstLine="640"/>
        <w:contextualSpacing/>
        <w:textAlignment w:val="auto"/>
        <w:rPr>
          <w:rFonts w:hint="eastAsia" w:ascii="仿宋_GB2312" w:hAnsi="仿宋_GB2312" w:eastAsia="仿宋_GB2312" w:cs="仿宋_GB2312"/>
          <w:sz w:val="32"/>
          <w:lang w:val="en-US" w:eastAsia="zh-CN"/>
        </w:rPr>
      </w:pPr>
      <w:r>
        <w:rPr>
          <w:rFonts w:hint="eastAsia" w:ascii="楷体" w:hAnsi="楷体" w:eastAsia="楷体" w:cs="楷体"/>
          <w:b/>
          <w:bCs/>
          <w:color w:val="auto"/>
          <w:kern w:val="2"/>
          <w:sz w:val="32"/>
          <w:szCs w:val="32"/>
          <w:lang w:val="en-US" w:eastAsia="zh-CN" w:bidi="ar-SA"/>
        </w:rPr>
        <w:t>（二）开展国际大招商系列活动，标志性外资项目实现突破。</w:t>
      </w:r>
      <w:r>
        <w:rPr>
          <w:rFonts w:hint="eastAsia" w:ascii="仿宋_GB2312" w:hAnsi="仿宋_GB2312" w:eastAsia="仿宋_GB2312" w:cs="仿宋_GB2312"/>
          <w:sz w:val="32"/>
          <w:lang w:val="en-US" w:eastAsia="zh-CN"/>
        </w:rPr>
        <w:t>利用省领导率团出访阿联酋、日本、新加坡等契机，以及2025年博鳌亚洲论坛年会、消博会、投洽会、进博会等国家级平台举办海南自贸港综合推介会、外资企业圆桌会等系列活动，推动重点领域标志性外资项目取得实质性进展，西门子能源燃机总装基地及服务中心开工；海南自贸港绿色低碳国际合作示范区管理局正式挂牌；海南金海可降解高端纸品绿色循环产业链项目实现我省纳入国家标志性重大外资项目零的突破；太古可口可乐绿色智能生产基地开工建设；闵和儋州粮油综合加工产业园项目规划设计启动；澳门星竞威武集团旗下海南寰聚商业投资有限公司正式揭牌入驻琼港经济合作三亚示范区；海南洛桑旅游大学于2025年9月开学；法国迈优力制药集团落户海口。</w:t>
      </w:r>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firstLine="640"/>
        <w:contextualSpacing/>
        <w:textAlignment w:val="auto"/>
        <w:rPr>
          <w:rFonts w:hint="eastAsia" w:ascii="仿宋_GB2312" w:hAnsi="仿宋_GB2312" w:eastAsia="仿宋_GB2312" w:cs="仿宋_GB2312"/>
          <w:sz w:val="32"/>
          <w:lang w:val="en-US" w:eastAsia="zh-CN"/>
        </w:rPr>
      </w:pPr>
      <w:r>
        <w:rPr>
          <w:rFonts w:hint="eastAsia" w:ascii="楷体" w:hAnsi="楷体" w:eastAsia="楷体" w:cs="楷体"/>
          <w:b/>
          <w:bCs/>
          <w:color w:val="auto"/>
          <w:kern w:val="2"/>
          <w:sz w:val="32"/>
          <w:szCs w:val="32"/>
          <w:lang w:val="en-US" w:eastAsia="zh-CN" w:bidi="ar-SA"/>
        </w:rPr>
        <w:t>（三）统筹推进精准招商与项目落地，增强产业发展后劲。</w:t>
      </w:r>
      <w:r>
        <w:rPr>
          <w:rFonts w:hint="eastAsia" w:ascii="仿宋_GB2312" w:hAnsi="仿宋_GB2312" w:eastAsia="仿宋_GB2312" w:cs="仿宋_GB2312"/>
          <w:sz w:val="32"/>
          <w:lang w:val="en-US" w:eastAsia="zh-CN"/>
        </w:rPr>
        <w:t>持续打造“投资自贸港”品牌。高规格举办第二届自贸港全球产业招商大会，每月将举办不少于2场重点招商活动。利用自贸港政策实施精准招商。统筹12个产业推进专班+相关厅局+市县（园区）+省属国企，结合自贸港核心政策，围绕全省重点打造的</w:t>
      </w:r>
      <w:r>
        <w:rPr>
          <w:rFonts w:hint="default" w:ascii="仿宋_GB2312" w:hAnsi="仿宋_GB2312" w:eastAsia="仿宋_GB2312" w:cs="仿宋_GB2312"/>
          <w:sz w:val="32"/>
          <w:lang w:val="en-US" w:eastAsia="zh-CN"/>
        </w:rPr>
        <w:t>27个产业集群，瞄准27个重点优势招商方向138个细化的产业领域，</w:t>
      </w:r>
      <w:r>
        <w:rPr>
          <w:rFonts w:hint="eastAsia" w:ascii="仿宋_GB2312" w:hAnsi="仿宋_GB2312" w:eastAsia="仿宋_GB2312" w:cs="仿宋_GB2312"/>
          <w:sz w:val="32"/>
          <w:lang w:val="en-US" w:eastAsia="zh-CN"/>
        </w:rPr>
        <w:t>通过上门拜访、路演推介等方式开展精准招商，服务企业提供针对性落地方案。推动《现代服务业推进专班工作方案》落实，编制《现代服务业重点项目明细表》，重点跟踪76个项目，项目金额2208.72亿元。同时谋划项目123个，形成《海南自贸港现代服务业招商引资项目库》，会同有关产业厅局、市县（园区）开展精准招商。加快招商签约项目入库并转化为有效投资。推动招商库、重大项目库和纳统库全面互通，坚持以投资纳统为结果导向，推动新增投资类招商签约项目尽快变成落地项目，推动在库落地未开工项目加快开工建设，推动在库开工未投产项目加快完成投资。强化重点企业招商引资。基于政策比较优势梳理目标企业清单，开展点对点精准招商，推动重点企业通过我省开展对外投资，同时在海南落地更多实业。</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Cs/>
          <w:sz w:val="32"/>
          <w:szCs w:val="32"/>
        </w:rPr>
      </w:pPr>
      <w:r>
        <w:rPr>
          <w:rFonts w:hint="eastAsia" w:ascii="黑体" w:hAnsi="黑体" w:eastAsia="黑体" w:cs="黑体"/>
          <w:bCs/>
          <w:sz w:val="32"/>
          <w:szCs w:val="32"/>
        </w:rPr>
        <w:t>五、综合评价情况及评价结论</w:t>
      </w:r>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firstLine="640"/>
        <w:contextualSpacing/>
        <w:textAlignment w:val="auto"/>
        <w:rPr>
          <w:rFonts w:hint="eastAsia" w:ascii="仿宋_GB2312" w:hAnsi="仿宋_GB2312" w:eastAsia="仿宋_GB2312" w:cs="仿宋_GB2312"/>
          <w:bCs/>
          <w:szCs w:val="32"/>
          <w:lang w:val="en-US" w:eastAsia="zh-CN"/>
        </w:rPr>
      </w:pPr>
      <w:r>
        <w:rPr>
          <w:rFonts w:hint="eastAsia" w:ascii="仿宋_GB2312" w:hAnsi="仿宋_GB2312" w:eastAsia="仿宋_GB2312" w:cs="仿宋_GB2312"/>
          <w:sz w:val="32"/>
          <w:lang w:eastAsia="zh-CN"/>
        </w:rPr>
        <w:t>综上，</w:t>
      </w:r>
      <w:r>
        <w:rPr>
          <w:rFonts w:hint="eastAsia" w:ascii="仿宋_GB2312" w:hAnsi="仿宋_GB2312" w:eastAsia="仿宋_GB2312" w:cs="仿宋_GB2312"/>
          <w:sz w:val="32"/>
        </w:rPr>
        <w:t>圆满完成了全年的绩效目标</w:t>
      </w:r>
      <w:r>
        <w:rPr>
          <w:rFonts w:hint="eastAsia" w:ascii="仿宋_GB2312" w:hAnsi="仿宋_GB2312" w:eastAsia="仿宋_GB2312" w:cs="仿宋_GB2312"/>
          <w:sz w:val="32"/>
          <w:lang w:eastAsia="zh-CN"/>
        </w:rPr>
        <w:t>，</w:t>
      </w:r>
      <w:r>
        <w:rPr>
          <w:rFonts w:hint="eastAsia" w:ascii="仿宋_GB2312" w:hAnsi="仿宋_GB2312" w:eastAsia="仿宋_GB2312" w:cs="宋体"/>
          <w:kern w:val="0"/>
          <w:sz w:val="32"/>
          <w:szCs w:val="32"/>
          <w:lang w:eastAsia="zh-CN"/>
        </w:rPr>
        <w:t>综合绩效评价指标评分，得分</w:t>
      </w:r>
      <w:r>
        <w:rPr>
          <w:rFonts w:hint="eastAsia" w:ascii="仿宋_GB2312" w:hAnsi="仿宋_GB2312" w:eastAsia="仿宋_GB2312" w:cs="宋体"/>
          <w:kern w:val="0"/>
          <w:sz w:val="32"/>
          <w:szCs w:val="32"/>
          <w:lang w:val="en-US" w:eastAsia="zh-CN"/>
        </w:rPr>
        <w:t>98分，评价等次优。</w:t>
      </w:r>
    </w:p>
    <w:p>
      <w:pPr>
        <w:pStyle w:val="3"/>
        <w:rPr>
          <w:rFonts w:hint="eastAsia"/>
          <w:lang w:val="en-US" w:eastAsia="zh-CN"/>
        </w:rPr>
      </w:pPr>
      <w:r>
        <w:rPr>
          <w:rFonts w:hint="eastAsia"/>
          <w:sz w:val="32"/>
          <w:szCs w:val="32"/>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仿宋_GB2312">
    <w:altName w:val="仿宋"/>
    <w:panose1 w:val="02010609030101010101"/>
    <w:charset w:val="00"/>
    <w:family w:val="auto"/>
    <w:pitch w:val="default"/>
    <w:sig w:usb0="00000000" w:usb1="0000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000000"/>
    <w:rsid w:val="1F9FA564"/>
    <w:rsid w:val="1FB2A65C"/>
    <w:rsid w:val="2F1E07C5"/>
    <w:rsid w:val="2FB3ACBF"/>
    <w:rsid w:val="35FE48B0"/>
    <w:rsid w:val="3A77877D"/>
    <w:rsid w:val="3F3D6E63"/>
    <w:rsid w:val="3FAA3044"/>
    <w:rsid w:val="3FFC9FD6"/>
    <w:rsid w:val="470C39C0"/>
    <w:rsid w:val="47DD60E8"/>
    <w:rsid w:val="57BFBDFA"/>
    <w:rsid w:val="57ECE5EC"/>
    <w:rsid w:val="5B7BD6C1"/>
    <w:rsid w:val="5DF1F435"/>
    <w:rsid w:val="5FBFA2B8"/>
    <w:rsid w:val="6F7DF67F"/>
    <w:rsid w:val="70A7F21C"/>
    <w:rsid w:val="719FDF58"/>
    <w:rsid w:val="76BF6592"/>
    <w:rsid w:val="76E97C50"/>
    <w:rsid w:val="77777F16"/>
    <w:rsid w:val="7AA7DC96"/>
    <w:rsid w:val="7AB7908F"/>
    <w:rsid w:val="7B5D5DBF"/>
    <w:rsid w:val="7BCF6E49"/>
    <w:rsid w:val="7DCFC536"/>
    <w:rsid w:val="7DFA78CC"/>
    <w:rsid w:val="7E7C813B"/>
    <w:rsid w:val="7EBF74FC"/>
    <w:rsid w:val="7F77AF63"/>
    <w:rsid w:val="7FADAEC8"/>
    <w:rsid w:val="7FBF8C9C"/>
    <w:rsid w:val="7FD7AE3C"/>
    <w:rsid w:val="7FDFE5F2"/>
    <w:rsid w:val="7FFB14BC"/>
    <w:rsid w:val="AB7F8BA2"/>
    <w:rsid w:val="B3EF1E9C"/>
    <w:rsid w:val="B5E4980D"/>
    <w:rsid w:val="BBBBA69A"/>
    <w:rsid w:val="BBBFD968"/>
    <w:rsid w:val="BBD03B1F"/>
    <w:rsid w:val="BDFEE019"/>
    <w:rsid w:val="BFFFD833"/>
    <w:rsid w:val="CBDED68A"/>
    <w:rsid w:val="CFFFA53F"/>
    <w:rsid w:val="DDCF95EE"/>
    <w:rsid w:val="DEF7E87B"/>
    <w:rsid w:val="DF26E4C5"/>
    <w:rsid w:val="DFF5D0C1"/>
    <w:rsid w:val="EBAF59EB"/>
    <w:rsid w:val="ECDD7415"/>
    <w:rsid w:val="EF5FAF17"/>
    <w:rsid w:val="F2BC5E2E"/>
    <w:rsid w:val="F2FF72EB"/>
    <w:rsid w:val="F38F4B4A"/>
    <w:rsid w:val="F6BBB69A"/>
    <w:rsid w:val="F7FE9BB6"/>
    <w:rsid w:val="FDED919B"/>
    <w:rsid w:val="FEDF4988"/>
    <w:rsid w:val="FEE79219"/>
    <w:rsid w:val="FFED35CF"/>
    <w:rsid w:val="FFF70672"/>
    <w:rsid w:val="FFFB8379"/>
    <w:rsid w:val="FFFFCC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99"/>
    <w:rPr>
      <w:rFonts w:ascii="Times New Roman" w:hAnsi="Times New Roman" w:eastAsia="楷体_GB2312" w:cs="Times New Roman"/>
      <w:sz w:val="32"/>
      <w:szCs w:val="20"/>
    </w:rPr>
  </w:style>
  <w:style w:type="paragraph" w:styleId="3">
    <w:name w:val="Body Text"/>
    <w:basedOn w:val="1"/>
    <w:next w:val="4"/>
    <w:qFormat/>
    <w:uiPriority w:val="0"/>
    <w:pPr>
      <w:spacing w:after="140" w:line="276" w:lineRule="auto"/>
    </w:pPr>
  </w:style>
  <w:style w:type="paragraph" w:styleId="4">
    <w:name w:val="Title"/>
    <w:basedOn w:val="1"/>
    <w:next w:val="5"/>
    <w:qFormat/>
    <w:uiPriority w:val="10"/>
    <w:pPr>
      <w:spacing w:before="240" w:after="60" w:line="312" w:lineRule="auto"/>
      <w:jc w:val="center"/>
      <w:outlineLvl w:val="0"/>
    </w:pPr>
    <w:rPr>
      <w:rFonts w:ascii="Cambria" w:hAnsi="Cambria" w:eastAsia="宋体" w:cs="Times New Roman"/>
      <w:b/>
      <w:bCs/>
      <w:sz w:val="32"/>
      <w:szCs w:val="32"/>
    </w:rPr>
  </w:style>
  <w:style w:type="paragraph" w:styleId="5">
    <w:name w:val="Body Text Indent"/>
    <w:basedOn w:val="1"/>
    <w:next w:val="6"/>
    <w:unhideWhenUsed/>
    <w:qFormat/>
    <w:uiPriority w:val="99"/>
    <w:pPr>
      <w:spacing w:after="120" w:afterLines="0"/>
      <w:ind w:left="420" w:leftChars="200"/>
    </w:pPr>
    <w:rPr>
      <w:rFonts w:ascii="宋体" w:hAnsi="Arial"/>
      <w:color w:val="000000"/>
    </w:rPr>
  </w:style>
  <w:style w:type="paragraph" w:styleId="6">
    <w:name w:val="Body Text First Indent 2"/>
    <w:basedOn w:val="5"/>
    <w:next w:val="1"/>
    <w:unhideWhenUsed/>
    <w:qFormat/>
    <w:uiPriority w:val="99"/>
    <w:pPr>
      <w:spacing w:before="100" w:beforeLines="0" w:beforeAutospacing="1" w:after="0" w:afterLines="0" w:line="360" w:lineRule="auto"/>
      <w:ind w:firstLine="420" w:firstLineChars="200"/>
    </w:pPr>
    <w:rPr>
      <w:color w:val="000000"/>
      <w:sz w:val="24"/>
      <w:szCs w:val="24"/>
    </w:rPr>
  </w:style>
  <w:style w:type="paragraph" w:styleId="7">
    <w:name w:val="Block Text"/>
    <w:basedOn w:val="1"/>
    <w:qFormat/>
    <w:uiPriority w:val="0"/>
    <w:pPr>
      <w:spacing w:line="600" w:lineRule="exact"/>
      <w:ind w:left="1440" w:leftChars="700" w:right="700" w:rightChars="700" w:firstLine="200" w:firstLineChars="200"/>
    </w:pPr>
    <w:rPr>
      <w:rFonts w:ascii="Times New Roman" w:hAnsi="Times New Roman" w:eastAsia="仿宋" w:cs="Times New Roman"/>
      <w:sz w:val="32"/>
      <w:szCs w:val="2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page number"/>
    <w:basedOn w:val="11"/>
    <w:unhideWhenUsed/>
    <w:qFormat/>
    <w:uiPriority w:val="99"/>
  </w:style>
  <w:style w:type="paragraph" w:customStyle="1" w:styleId="13">
    <w:name w:val="Char"/>
    <w:basedOn w:val="1"/>
    <w:qFormat/>
    <w:uiPriority w:val="0"/>
    <w:pPr>
      <w:widowControl/>
      <w:spacing w:before="100" w:beforeLines="0" w:beforeAutospacing="1" w:after="100" w:afterLines="0" w:afterAutospacing="1" w:line="360" w:lineRule="auto"/>
      <w:ind w:left="360" w:firstLine="624"/>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2023-04-29T04:12:00Z</dcterms:created>
  <dc:creator>iPhone</dc:creator>
  <cp:lastModifiedBy>swt</cp:lastModifiedBy>
  <dcterms:modified xsi:type="dcterms:W3CDTF">2026-04-27T10:30:33Z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DEEEC4AA31F2D9E6AEA44864C6166BA2_31</vt:lpwstr>
  </property>
</Properties>
</file>