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1D7FB">
      <w:pPr>
        <w:keepNext w:val="0"/>
        <w:keepLines w:val="0"/>
        <w:widowControl w:val="0"/>
        <w:suppressLineNumbers w:val="0"/>
        <w:spacing w:before="0" w:beforeAutospacing="0" w:after="0" w:afterAutospacing="0" w:line="530" w:lineRule="exact"/>
        <w:ind w:left="0" w:right="0"/>
        <w:jc w:val="center"/>
        <w:rPr>
          <w:rFonts w:hint="eastAsia" w:ascii="方正小标宋简体" w:hAnsi="方正小标宋简体" w:eastAsia="方正小标宋简体" w:cs="方正小标宋简体"/>
          <w:b/>
          <w:bCs w:val="0"/>
          <w:kern w:val="2"/>
          <w:sz w:val="44"/>
          <w:szCs w:val="44"/>
        </w:rPr>
      </w:pPr>
      <w:r>
        <w:rPr>
          <w:rFonts w:hint="eastAsia" w:ascii="方正小标宋简体" w:hAnsi="方正小标宋简体" w:eastAsia="方正小标宋简体" w:cs="方正小标宋简体"/>
          <w:color w:val="000000"/>
          <w:kern w:val="2"/>
          <w:sz w:val="44"/>
          <w:szCs w:val="44"/>
          <w:lang w:val="en-US" w:eastAsia="zh-CN" w:bidi="ar"/>
        </w:rPr>
        <w:t>服务业发展专项资金</w:t>
      </w:r>
      <w:r>
        <w:rPr>
          <w:rFonts w:hint="eastAsia" w:ascii="方正小标宋简体" w:hAnsi="方正小标宋简体" w:eastAsia="方正小标宋简体" w:cs="方正小标宋简体"/>
          <w:b/>
          <w:bCs w:val="0"/>
          <w:kern w:val="2"/>
          <w:sz w:val="44"/>
          <w:szCs w:val="44"/>
          <w:lang w:val="en-US" w:eastAsia="zh-CN" w:bidi="ar"/>
        </w:rPr>
        <w:t>绩效自评报告</w:t>
      </w:r>
    </w:p>
    <w:p w14:paraId="529B20B3">
      <w:pPr>
        <w:keepNext w:val="0"/>
        <w:keepLines w:val="0"/>
        <w:widowControl w:val="0"/>
        <w:suppressLineNumbers w:val="0"/>
        <w:spacing w:before="0" w:beforeAutospacing="0" w:after="0" w:afterAutospacing="0" w:line="560" w:lineRule="exact"/>
        <w:ind w:left="0" w:right="0" w:firstLine="880" w:firstLineChars="200"/>
        <w:jc w:val="center"/>
        <w:rPr>
          <w:rFonts w:hint="eastAsia" w:ascii="方正小标宋简体" w:hAnsi="方正小标宋简体" w:eastAsia="方正小标宋简体" w:cs="方正小标宋简体"/>
          <w:color w:val="000000"/>
          <w:kern w:val="2"/>
          <w:sz w:val="44"/>
          <w:szCs w:val="44"/>
          <w:lang w:val="en-US" w:eastAsia="zh-CN" w:bidi="ar"/>
        </w:rPr>
      </w:pPr>
    </w:p>
    <w:p w14:paraId="537C7DCA">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黑体" w:hAnsi="黑体" w:eastAsia="黑体" w:cs="黑体"/>
          <w:color w:val="000000"/>
          <w:kern w:val="2"/>
          <w:sz w:val="32"/>
          <w:szCs w:val="32"/>
        </w:rPr>
      </w:pPr>
      <w:r>
        <w:rPr>
          <w:rFonts w:hint="eastAsia" w:ascii="黑体" w:hAnsi="黑体" w:eastAsia="黑体" w:cs="黑体"/>
          <w:color w:val="000000"/>
          <w:kern w:val="2"/>
          <w:sz w:val="32"/>
          <w:szCs w:val="32"/>
          <w:lang w:val="en-US" w:eastAsia="zh-CN" w:bidi="ar"/>
        </w:rPr>
        <w:t>一、项目概况</w:t>
      </w:r>
    </w:p>
    <w:p w14:paraId="15EE24AA">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（一）项目基本情况</w:t>
      </w:r>
    </w:p>
    <w:p w14:paraId="418ABFBB">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2025年，中央下达我省服务业发展资金11172万元，支持我省实施县域商业建设行动。其中，6%的资金813万元用于4个跨市县的项目（海南一心堂送药下乡提升改造项目、</w:t>
      </w:r>
    </w:p>
    <w:p w14:paraId="006EF546">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right="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海南热带水果供应链建设项目、海南南国智能仓储升级改造项目、海口美海智能仓配供应链一体化续建项目），由海南省商务厅、海南省财政厅、海南省农业农村厅负责组织项目申报和实施。截至目前，我省跨市县项目资金拨付率为100%。</w:t>
      </w:r>
    </w:p>
    <w:p w14:paraId="3D3CE3EB">
      <w:pPr>
        <w:keepNext w:val="0"/>
        <w:keepLines w:val="0"/>
        <w:pageBreakBefore w:val="0"/>
        <w:widowControl w:val="0"/>
        <w:numPr>
          <w:ilvl w:val="0"/>
          <w:numId w:val="1"/>
        </w:numPr>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项目年度预算绩效目标和绩效指标设定情况</w:t>
      </w:r>
    </w:p>
    <w:p w14:paraId="509B33E5">
      <w:pPr>
        <w:keepNext w:val="0"/>
        <w:keepLines w:val="0"/>
        <w:pageBreakBefore w:val="0"/>
        <w:widowControl w:val="0"/>
        <w:numPr>
          <w:numId w:val="0"/>
        </w:numPr>
        <w:suppressLineNumbers w:val="0"/>
        <w:kinsoku/>
        <w:wordWrap/>
        <w:overflowPunct/>
        <w:topLinePunct w:val="0"/>
        <w:autoSpaceDN/>
        <w:bidi w:val="0"/>
        <w:spacing w:before="0" w:beforeAutospacing="0" w:after="0" w:afterAutospacing="0" w:line="580" w:lineRule="exact"/>
        <w:ind w:right="0" w:rightChars="0"/>
        <w:jc w:val="both"/>
        <w:textAlignment w:val="auto"/>
        <w:rPr>
          <w:rFonts w:hint="default" w:ascii="仿宋_GB2312" w:hAnsi="Calibri" w:eastAsia="仿宋_GB2312" w:cs="仿宋_GB2312"/>
          <w:kern w:val="2"/>
          <w:sz w:val="32"/>
          <w:szCs w:val="32"/>
          <w:lang w:val="en-US" w:eastAsia="zh-CN" w:bidi="ar"/>
        </w:rPr>
      </w:pPr>
      <w:r>
        <w:rPr>
          <w:rFonts w:hint="eastAsia" w:ascii="楷体" w:hAnsi="楷体" w:eastAsia="楷体" w:cs="楷体"/>
          <w:color w:val="000000"/>
          <w:kern w:val="2"/>
          <w:sz w:val="32"/>
          <w:szCs w:val="32"/>
          <w:lang w:val="en-US" w:eastAsia="zh-CN" w:bidi="ar"/>
        </w:rPr>
        <w:t xml:space="preserve">   </w:t>
      </w:r>
      <w:r>
        <w:rPr>
          <w:rFonts w:hint="eastAsia" w:ascii="仿宋_GB2312" w:hAnsi="Calibri" w:eastAsia="仿宋_GB2312" w:cs="仿宋_GB2312"/>
          <w:kern w:val="2"/>
          <w:sz w:val="32"/>
          <w:szCs w:val="32"/>
          <w:lang w:val="en-US" w:eastAsia="zh-CN" w:bidi="ar"/>
        </w:rPr>
        <w:t xml:space="preserve"> 项目年度预算绩效目标：支持3个符合商务部支持的补齐县域商业基础设施短板、完善县乡村三级物流配送体系、改善优化县域消费渠道、增强农村产品上行动能、提高生活服务共给质量等5个方向的项目，加快补齐我省县域基础设施短板和公共服务短板，带动就业人口50人。截至目前，共支持4个符合商务部支持的项目，带动就业人口超200人。</w:t>
      </w:r>
    </w:p>
    <w:p w14:paraId="689BC148">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eastAsia" w:ascii="黑体" w:hAnsi="黑体" w:eastAsia="黑体" w:cs="黑体"/>
          <w:color w:val="000000"/>
          <w:kern w:val="2"/>
          <w:sz w:val="32"/>
          <w:szCs w:val="32"/>
        </w:rPr>
      </w:pPr>
      <w:r>
        <w:rPr>
          <w:rFonts w:hint="eastAsia" w:ascii="黑体" w:hAnsi="黑体" w:eastAsia="黑体" w:cs="黑体"/>
          <w:color w:val="000000"/>
          <w:kern w:val="2"/>
          <w:sz w:val="32"/>
          <w:szCs w:val="32"/>
          <w:lang w:val="en-US" w:eastAsia="zh-CN" w:bidi="ar"/>
        </w:rPr>
        <w:t>二、项目决策及资金使用管理情况</w:t>
      </w:r>
    </w:p>
    <w:p w14:paraId="4EB9650D">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（一）项目决策情况</w:t>
      </w:r>
    </w:p>
    <w:p w14:paraId="3EFBBDC8">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eastAsia" w:ascii="Times" w:hAnsi="Times" w:eastAsia="仿宋_GB2312"/>
          <w:color w:val="auto"/>
          <w:sz w:val="32"/>
          <w:szCs w:val="32"/>
        </w:rPr>
      </w:pPr>
      <w:r>
        <w:rPr>
          <w:rFonts w:hint="eastAsia" w:ascii="Times" w:hAnsi="Times" w:eastAsia="仿宋_GB2312"/>
          <w:color w:val="auto"/>
          <w:sz w:val="32"/>
          <w:szCs w:val="32"/>
        </w:rPr>
        <w:t>根据《财政部办公厅 商务部办公厅  国家乡村振兴局综合司关于支持实施县域商业建设行动的通知》（财办建〔2022〕18号）《</w:t>
      </w:r>
      <w:r>
        <w:rPr>
          <w:rFonts w:hint="eastAsia" w:ascii="Times" w:hAnsi="Times" w:eastAsia="仿宋_GB2312"/>
          <w:color w:val="auto"/>
          <w:sz w:val="32"/>
          <w:szCs w:val="32"/>
          <w:lang w:val="en-US" w:eastAsia="zh-CN"/>
        </w:rPr>
        <w:t>海南</w:t>
      </w:r>
      <w:r>
        <w:rPr>
          <w:rFonts w:hint="eastAsia" w:ascii="Times" w:hAnsi="Times" w:eastAsia="仿宋_GB2312"/>
          <w:color w:val="auto"/>
          <w:sz w:val="32"/>
          <w:szCs w:val="32"/>
        </w:rPr>
        <w:t>省县域商业建设行动工作方案》（</w:t>
      </w:r>
      <w:r>
        <w:rPr>
          <w:rFonts w:hint="eastAsia" w:ascii="Times New Roman" w:hAnsi="Times New Roman" w:eastAsia="仿宋_GB2312" w:cs="Times New Roman"/>
          <w:color w:val="auto"/>
          <w:spacing w:val="-2"/>
          <w:sz w:val="32"/>
          <w:szCs w:val="32"/>
          <w:lang w:val="en-US" w:eastAsia="zh-CN"/>
        </w:rPr>
        <w:t>琼商电函〔2022〕33 号</w:t>
      </w:r>
      <w:r>
        <w:rPr>
          <w:rFonts w:hint="eastAsia" w:ascii="Times" w:hAnsi="Times" w:eastAsia="仿宋_GB2312"/>
          <w:color w:val="auto"/>
          <w:sz w:val="32"/>
          <w:szCs w:val="32"/>
        </w:rPr>
        <w:t>），</w:t>
      </w:r>
      <w:r>
        <w:rPr>
          <w:rFonts w:hint="eastAsia" w:ascii="Times" w:hAnsi="Times" w:eastAsia="仿宋_GB2312"/>
          <w:color w:val="auto"/>
          <w:sz w:val="32"/>
          <w:szCs w:val="32"/>
          <w:lang w:val="en-US" w:eastAsia="zh-CN"/>
        </w:rPr>
        <w:t>跨市县项目采取项目法分配，资金规模不超过年度资金规模的10%。通过企业申报、事务所合规性审查、查重、公示、召开厅务会研究等程序，确定纳入我省跨市县支持的项目。</w:t>
      </w:r>
    </w:p>
    <w:p w14:paraId="784B4B0B">
      <w:pPr>
        <w:keepNext w:val="0"/>
        <w:keepLines w:val="0"/>
        <w:pageBreakBefore w:val="0"/>
        <w:widowControl w:val="0"/>
        <w:numPr>
          <w:ilvl w:val="0"/>
          <w:numId w:val="1"/>
        </w:numPr>
        <w:suppressLineNumbers w:val="0"/>
        <w:kinsoku/>
        <w:wordWrap/>
        <w:overflowPunct/>
        <w:topLinePunct w:val="0"/>
        <w:autoSpaceDN/>
        <w:bidi w:val="0"/>
        <w:spacing w:before="0" w:beforeAutospacing="0" w:after="0" w:afterAutospacing="0" w:line="580" w:lineRule="exact"/>
        <w:ind w:left="0" w:leftChars="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项目资金（包括财政资金、自筹资金等）安排落实、总投入等情况</w:t>
      </w:r>
    </w:p>
    <w:p w14:paraId="1940FF84">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right="0" w:firstLine="640"/>
        <w:jc w:val="both"/>
        <w:textAlignment w:val="auto"/>
        <w:rPr>
          <w:rFonts w:hint="default" w:ascii="Times" w:hAnsi="Times" w:eastAsia="仿宋_GB2312"/>
          <w:color w:val="auto"/>
          <w:sz w:val="32"/>
          <w:szCs w:val="32"/>
          <w:lang w:val="en-US" w:eastAsia="zh-CN"/>
        </w:rPr>
      </w:pPr>
      <w:r>
        <w:rPr>
          <w:rFonts w:hint="eastAsia" w:ascii="Times" w:hAnsi="Times" w:eastAsia="仿宋_GB2312"/>
          <w:color w:val="auto"/>
          <w:sz w:val="32"/>
          <w:szCs w:val="32"/>
          <w:lang w:val="en-US" w:eastAsia="zh-CN"/>
        </w:rPr>
        <w:t>共安排2025年度中央县域商业建设行动专项资金的6%的资金813万元用于跨市县项目，拉动企业共投入资金2868万元。</w:t>
      </w:r>
    </w:p>
    <w:p w14:paraId="2C685BB8">
      <w:pPr>
        <w:keepNext w:val="0"/>
        <w:keepLines w:val="0"/>
        <w:pageBreakBefore w:val="0"/>
        <w:widowControl w:val="0"/>
        <w:numPr>
          <w:ilvl w:val="0"/>
          <w:numId w:val="1"/>
        </w:numPr>
        <w:suppressLineNumbers w:val="0"/>
        <w:kinsoku/>
        <w:wordWrap/>
        <w:overflowPunct/>
        <w:topLinePunct w:val="0"/>
        <w:autoSpaceDN/>
        <w:bidi w:val="0"/>
        <w:spacing w:before="0" w:beforeAutospacing="0" w:after="0" w:afterAutospacing="0" w:line="580" w:lineRule="exact"/>
        <w:ind w:left="0" w:leftChars="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项目资金管理情况</w:t>
      </w:r>
    </w:p>
    <w:p w14:paraId="0492B9AF">
      <w:pPr>
        <w:keepNext w:val="0"/>
        <w:keepLines w:val="0"/>
        <w:pageBreakBefore w:val="0"/>
        <w:widowControl w:val="0"/>
        <w:kinsoku/>
        <w:wordWrap/>
        <w:overflowPunct/>
        <w:topLinePunct w:val="0"/>
        <w:autoSpaceDN/>
        <w:bidi w:val="0"/>
        <w:adjustRightInd w:val="0"/>
        <w:snapToGrid w:val="0"/>
        <w:spacing w:line="580" w:lineRule="exact"/>
        <w:ind w:firstLine="640" w:firstLineChars="200"/>
        <w:textAlignment w:val="auto"/>
        <w:rPr>
          <w:rFonts w:hint="eastAsia" w:ascii="Times" w:hAnsi="Times" w:eastAsia="仿宋_GB2312" w:cs="Times New Roman"/>
          <w:sz w:val="32"/>
          <w:szCs w:val="32"/>
        </w:rPr>
      </w:pPr>
      <w:r>
        <w:rPr>
          <w:rFonts w:hint="eastAsia" w:ascii="Times" w:hAnsi="Times" w:eastAsia="仿宋_GB2312" w:cs="Times New Roman"/>
          <w:sz w:val="32"/>
          <w:szCs w:val="32"/>
        </w:rPr>
        <w:t>制定印发了《</w:t>
      </w:r>
      <w:r>
        <w:rPr>
          <w:rFonts w:hint="eastAsia" w:ascii="Times" w:hAnsi="Times" w:eastAsia="仿宋_GB2312" w:cs="Times New Roman"/>
          <w:sz w:val="32"/>
          <w:szCs w:val="32"/>
          <w:lang w:val="en-US" w:eastAsia="zh-CN"/>
        </w:rPr>
        <w:t>海南省</w:t>
      </w:r>
      <w:r>
        <w:rPr>
          <w:rFonts w:hint="eastAsia" w:ascii="Times" w:hAnsi="Times" w:eastAsia="仿宋_GB2312" w:cs="Times New Roman"/>
          <w:sz w:val="32"/>
          <w:szCs w:val="32"/>
        </w:rPr>
        <w:t>县域商业建设行动</w:t>
      </w:r>
      <w:r>
        <w:rPr>
          <w:rFonts w:hint="eastAsia" w:ascii="Times" w:hAnsi="Times" w:eastAsia="仿宋_GB2312" w:cs="Times New Roman"/>
          <w:sz w:val="32"/>
          <w:szCs w:val="32"/>
          <w:lang w:val="en-US" w:eastAsia="zh-CN"/>
        </w:rPr>
        <w:t>资金</w:t>
      </w:r>
      <w:r>
        <w:rPr>
          <w:rFonts w:hint="eastAsia" w:ascii="Times" w:hAnsi="Times" w:eastAsia="仿宋_GB2312" w:cs="Times New Roman"/>
          <w:sz w:val="32"/>
          <w:szCs w:val="32"/>
        </w:rPr>
        <w:t>项目管理</w:t>
      </w:r>
      <w:r>
        <w:rPr>
          <w:rFonts w:hint="eastAsia" w:ascii="Times" w:hAnsi="Times" w:eastAsia="仿宋_GB2312" w:cs="Times New Roman"/>
          <w:sz w:val="32"/>
          <w:szCs w:val="32"/>
          <w:lang w:val="en-US" w:eastAsia="zh-CN"/>
        </w:rPr>
        <w:t>办法（暂行）</w:t>
      </w:r>
      <w:r>
        <w:rPr>
          <w:rFonts w:hint="eastAsia" w:ascii="Times" w:hAnsi="Times" w:eastAsia="仿宋_GB2312" w:cs="Times New Roman"/>
          <w:sz w:val="32"/>
          <w:szCs w:val="32"/>
        </w:rPr>
        <w:t>》</w:t>
      </w:r>
      <w:r>
        <w:rPr>
          <w:rFonts w:hint="eastAsia" w:ascii="Times" w:hAnsi="Times" w:eastAsia="仿宋_GB2312" w:cs="Times New Roman"/>
          <w:sz w:val="32"/>
          <w:szCs w:val="32"/>
          <w:lang w:eastAsia="zh-CN"/>
        </w:rPr>
        <w:t>《</w:t>
      </w:r>
      <w:r>
        <w:rPr>
          <w:rFonts w:hint="eastAsia" w:ascii="Times" w:hAnsi="Times" w:eastAsia="仿宋_GB2312" w:cs="Times New Roman"/>
          <w:sz w:val="32"/>
          <w:szCs w:val="32"/>
          <w:lang w:val="en-US" w:eastAsia="zh-CN"/>
        </w:rPr>
        <w:t>建立县域商业建设行动日常监督检查机制的通知</w:t>
      </w:r>
      <w:r>
        <w:rPr>
          <w:rFonts w:hint="eastAsia" w:ascii="Times" w:hAnsi="Times" w:eastAsia="仿宋_GB2312" w:cs="Times New Roman"/>
          <w:sz w:val="32"/>
          <w:szCs w:val="32"/>
          <w:lang w:eastAsia="zh-CN"/>
        </w:rPr>
        <w:t>》《</w:t>
      </w:r>
      <w:r>
        <w:rPr>
          <w:rFonts w:hint="eastAsia" w:ascii="Times" w:hAnsi="Times" w:eastAsia="仿宋_GB2312" w:cs="Times New Roman"/>
          <w:sz w:val="32"/>
          <w:szCs w:val="32"/>
          <w:lang w:val="en-US" w:eastAsia="zh-CN"/>
        </w:rPr>
        <w:t>建立县域商业建设行动项目储备库的通知</w:t>
      </w:r>
      <w:r>
        <w:rPr>
          <w:rFonts w:hint="eastAsia" w:ascii="Times" w:hAnsi="Times" w:eastAsia="仿宋_GB2312" w:cs="Times New Roman"/>
          <w:sz w:val="32"/>
          <w:szCs w:val="32"/>
          <w:lang w:eastAsia="zh-CN"/>
        </w:rPr>
        <w:t>》</w:t>
      </w:r>
      <w:r>
        <w:rPr>
          <w:rFonts w:hint="eastAsia" w:ascii="Times" w:hAnsi="Times" w:eastAsia="仿宋_GB2312" w:cs="Times New Roman"/>
          <w:sz w:val="32"/>
          <w:szCs w:val="32"/>
        </w:rPr>
        <w:t>，细化明确立项、补助、验收、后续运营、资产管护等要求，对项目选择、管理、阶段任务的验收、监督和检查进行规范。建立日常监督管理机制，加强对项目全过程的监督检查。</w:t>
      </w:r>
    </w:p>
    <w:p w14:paraId="3CA708E0">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黑体" w:hAnsi="黑体" w:eastAsia="黑体" w:cs="黑体"/>
          <w:color w:val="000000"/>
          <w:kern w:val="2"/>
          <w:sz w:val="32"/>
          <w:szCs w:val="32"/>
        </w:rPr>
      </w:pPr>
      <w:r>
        <w:rPr>
          <w:rFonts w:hint="eastAsia" w:ascii="黑体" w:hAnsi="黑体" w:eastAsia="黑体" w:cs="黑体"/>
          <w:color w:val="000000"/>
          <w:kern w:val="2"/>
          <w:sz w:val="32"/>
          <w:szCs w:val="32"/>
          <w:lang w:val="en-US" w:eastAsia="zh-CN" w:bidi="ar"/>
        </w:rPr>
        <w:t>三、项目组织实施情况</w:t>
      </w:r>
    </w:p>
    <w:p w14:paraId="3146945A">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right="0" w:firstLine="640" w:firstLineChars="200"/>
        <w:jc w:val="both"/>
        <w:textAlignment w:val="auto"/>
        <w:rPr>
          <w:rFonts w:hint="default"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海南一心堂送药下乡提升改造项目、海南热带水果供应链建设项目、海南南国智能仓储升级改造项目、海口美海智能仓配供应链一体化续建项目等按照资金管理办法的申报流程列入省级项目库。项目验收后，海南省商务厅、海南省农业厅会同会计师事务所对项目进行验收，验收后报厅务会审核后拨付资金。</w:t>
      </w:r>
    </w:p>
    <w:p w14:paraId="2FB4A8AD">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right="0" w:firstLine="640" w:firstLineChars="200"/>
        <w:jc w:val="both"/>
        <w:textAlignment w:val="auto"/>
        <w:rPr>
          <w:rFonts w:hint="eastAsia" w:ascii="仿宋_GB2312" w:hAnsi="Calibri" w:eastAsia="仿宋_GB2312" w:cs="仿宋_GB2312"/>
          <w:kern w:val="2"/>
          <w:sz w:val="32"/>
          <w:szCs w:val="32"/>
          <w:lang w:val="en-US" w:eastAsia="zh-CN" w:bidi="ar"/>
        </w:rPr>
      </w:pPr>
    </w:p>
    <w:p w14:paraId="7EBE0B3C">
      <w:pPr>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right="0" w:firstLine="640" w:firstLineChars="200"/>
        <w:jc w:val="both"/>
        <w:textAlignment w:val="auto"/>
        <w:rPr>
          <w:rFonts w:hint="eastAsia" w:ascii="楷体" w:hAnsi="楷体" w:eastAsia="楷体" w:cs="楷体"/>
          <w:kern w:val="2"/>
          <w:sz w:val="32"/>
          <w:szCs w:val="32"/>
          <w:lang w:val="en-US" w:eastAsia="zh-CN" w:bidi="ar"/>
        </w:rPr>
      </w:pPr>
    </w:p>
    <w:p w14:paraId="29489B07">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黑体" w:hAnsi="黑体" w:eastAsia="黑体" w:cs="黑体"/>
          <w:color w:val="000000"/>
          <w:kern w:val="2"/>
          <w:sz w:val="32"/>
          <w:szCs w:val="32"/>
        </w:rPr>
      </w:pPr>
      <w:r>
        <w:rPr>
          <w:rFonts w:hint="eastAsia" w:ascii="黑体" w:hAnsi="黑体" w:eastAsia="黑体" w:cs="黑体"/>
          <w:color w:val="000000"/>
          <w:kern w:val="2"/>
          <w:sz w:val="32"/>
          <w:szCs w:val="32"/>
          <w:lang w:val="en-US" w:eastAsia="zh-CN" w:bidi="ar"/>
        </w:rPr>
        <w:t>四、项目绩效情况</w:t>
      </w:r>
    </w:p>
    <w:p w14:paraId="6E52BF4F">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eastAsia" w:ascii="仿宋" w:hAnsi="仿宋" w:eastAsia="仿宋" w:cs="仿宋"/>
          <w:color w:val="000000"/>
          <w:kern w:val="2"/>
          <w:sz w:val="32"/>
          <w:szCs w:val="32"/>
          <w:lang w:val="en-US" w:eastAsia="zh-CN" w:bidi="ar"/>
        </w:rPr>
      </w:pPr>
      <w:r>
        <w:rPr>
          <w:rFonts w:hint="eastAsia" w:ascii="仿宋" w:hAnsi="仿宋" w:eastAsia="仿宋" w:cs="仿宋"/>
          <w:color w:val="000000"/>
          <w:kern w:val="2"/>
          <w:sz w:val="32"/>
          <w:szCs w:val="32"/>
          <w:lang w:val="en-US" w:eastAsia="zh-CN" w:bidi="ar"/>
        </w:rPr>
        <w:t>项目绩效目标完成情况。</w:t>
      </w:r>
    </w:p>
    <w:p w14:paraId="0E6A4A1A">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eastAsia"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支持项目数量3个。</w:t>
      </w:r>
      <w:r>
        <w:rPr>
          <w:rFonts w:hint="eastAsia" w:ascii="仿宋" w:hAnsi="仿宋" w:eastAsia="仿宋" w:cs="仿宋"/>
          <w:color w:val="000000"/>
          <w:kern w:val="2"/>
          <w:sz w:val="32"/>
          <w:szCs w:val="32"/>
          <w:lang w:val="en-US" w:eastAsia="zh-CN" w:bidi="ar"/>
        </w:rPr>
        <w:t>实际支持项目数量为4个。</w:t>
      </w:r>
    </w:p>
    <w:p w14:paraId="44A2E72D">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default"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支持对象资格符合率为100%。</w:t>
      </w:r>
      <w:r>
        <w:rPr>
          <w:rFonts w:hint="eastAsia" w:ascii="仿宋" w:hAnsi="仿宋" w:eastAsia="仿宋" w:cs="仿宋"/>
          <w:color w:val="000000"/>
          <w:kern w:val="2"/>
          <w:sz w:val="32"/>
          <w:szCs w:val="32"/>
          <w:lang w:val="en-US" w:eastAsia="zh-CN" w:bidi="ar"/>
        </w:rPr>
        <w:t>实际支持对象符合率为100%</w:t>
      </w:r>
    </w:p>
    <w:p w14:paraId="38186899">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default"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项目入库及时率为100%。</w:t>
      </w:r>
      <w:r>
        <w:rPr>
          <w:rFonts w:hint="eastAsia" w:ascii="仿宋" w:hAnsi="仿宋" w:eastAsia="仿宋" w:cs="仿宋"/>
          <w:color w:val="000000"/>
          <w:kern w:val="2"/>
          <w:sz w:val="32"/>
          <w:szCs w:val="32"/>
          <w:lang w:val="en-US" w:eastAsia="zh-CN" w:bidi="ar"/>
        </w:rPr>
        <w:t>2025年度项目都在2025年度完成项目入库。</w:t>
      </w:r>
    </w:p>
    <w:p w14:paraId="52071131">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default"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带动就业人口大于50人。</w:t>
      </w:r>
      <w:r>
        <w:rPr>
          <w:rFonts w:hint="eastAsia" w:ascii="仿宋" w:hAnsi="仿宋" w:eastAsia="仿宋" w:cs="仿宋"/>
          <w:color w:val="000000"/>
          <w:kern w:val="2"/>
          <w:sz w:val="32"/>
          <w:szCs w:val="32"/>
          <w:lang w:val="en-US" w:eastAsia="zh-CN" w:bidi="ar"/>
        </w:rPr>
        <w:t>实际带动就业人口超200人。</w:t>
      </w:r>
    </w:p>
    <w:p w14:paraId="12A7F7E8">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default"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供应链下沉到市县大于等于6个。</w:t>
      </w:r>
      <w:r>
        <w:rPr>
          <w:rFonts w:hint="eastAsia" w:ascii="仿宋" w:hAnsi="仿宋" w:eastAsia="仿宋" w:cs="仿宋"/>
          <w:color w:val="000000"/>
          <w:kern w:val="2"/>
          <w:sz w:val="32"/>
          <w:szCs w:val="32"/>
          <w:lang w:val="en-US" w:eastAsia="zh-CN" w:bidi="ar"/>
        </w:rPr>
        <w:t>实际下沉市县为12个。</w:t>
      </w:r>
    </w:p>
    <w:p w14:paraId="1A57BE28">
      <w:pPr>
        <w:keepNext w:val="0"/>
        <w:keepLines w:val="0"/>
        <w:pageBreakBefore w:val="0"/>
        <w:widowControl w:val="0"/>
        <w:numPr>
          <w:ilvl w:val="0"/>
          <w:numId w:val="2"/>
        </w:numPr>
        <w:suppressLineNumbers w:val="0"/>
        <w:kinsoku/>
        <w:wordWrap/>
        <w:overflowPunct/>
        <w:topLinePunct w:val="0"/>
        <w:autoSpaceDN/>
        <w:bidi w:val="0"/>
        <w:spacing w:before="0" w:beforeAutospacing="0" w:after="0" w:afterAutospacing="0" w:line="580" w:lineRule="exact"/>
        <w:ind w:right="0" w:firstLine="640" w:firstLineChars="200"/>
        <w:jc w:val="both"/>
        <w:textAlignment w:val="auto"/>
        <w:rPr>
          <w:rFonts w:hint="eastAsia" w:ascii="仿宋" w:hAnsi="仿宋" w:eastAsia="仿宋" w:cs="仿宋"/>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企业满意度大于80%。</w:t>
      </w:r>
      <w:r>
        <w:rPr>
          <w:rFonts w:hint="eastAsia" w:ascii="仿宋" w:hAnsi="仿宋" w:eastAsia="仿宋" w:cs="仿宋"/>
          <w:color w:val="000000"/>
          <w:kern w:val="2"/>
          <w:sz w:val="32"/>
          <w:szCs w:val="32"/>
          <w:lang w:val="en-US" w:eastAsia="zh-CN" w:bidi="ar"/>
        </w:rPr>
        <w:t>实际企业满意度达90%</w:t>
      </w:r>
    </w:p>
    <w:p w14:paraId="0CD66665">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方正小标宋简体" w:hAnsi="方正小标宋简体" w:eastAsia="方正小标宋简体" w:cs="方正小标宋简体"/>
          <w:color w:val="000000"/>
          <w:kern w:val="2"/>
          <w:sz w:val="32"/>
          <w:szCs w:val="32"/>
        </w:rPr>
      </w:pPr>
      <w:r>
        <w:rPr>
          <w:rFonts w:hint="eastAsia" w:ascii="方正小标宋简体" w:hAnsi="方正小标宋简体" w:eastAsia="方正小标宋简体" w:cs="方正小标宋简体"/>
          <w:color w:val="000000"/>
          <w:kern w:val="2"/>
          <w:sz w:val="32"/>
          <w:szCs w:val="32"/>
          <w:lang w:val="en-US" w:eastAsia="zh-CN" w:bidi="ar"/>
        </w:rPr>
        <w:t>五、其他需要说明的问题</w:t>
      </w:r>
    </w:p>
    <w:p w14:paraId="4A542B88">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楷体" w:hAnsi="楷体" w:eastAsia="楷体" w:cs="楷体"/>
          <w:color w:val="000000"/>
          <w:kern w:val="2"/>
          <w:sz w:val="32"/>
          <w:szCs w:val="32"/>
          <w:lang w:val="en-US" w:eastAsia="zh-CN" w:bidi="ar"/>
        </w:rPr>
      </w:pPr>
      <w:r>
        <w:rPr>
          <w:rFonts w:hint="eastAsia" w:ascii="楷体" w:hAnsi="楷体" w:eastAsia="楷体" w:cs="楷体"/>
          <w:color w:val="000000"/>
          <w:kern w:val="2"/>
          <w:sz w:val="32"/>
          <w:szCs w:val="32"/>
          <w:lang w:val="en-US" w:eastAsia="zh-CN" w:bidi="ar"/>
        </w:rPr>
        <w:t>（一）后续工作计划</w:t>
      </w:r>
    </w:p>
    <w:p w14:paraId="18A1547C">
      <w:pPr>
        <w:pStyle w:val="4"/>
        <w:keepNext w:val="0"/>
        <w:keepLines w:val="0"/>
        <w:pageBreakBefore w:val="0"/>
        <w:widowControl w:val="0"/>
        <w:suppressLineNumbers w:val="0"/>
        <w:kinsoku/>
        <w:wordWrap/>
        <w:overflowPunct/>
        <w:topLinePunct w:val="0"/>
        <w:autoSpaceDE w:val="0"/>
        <w:autoSpaceDN/>
        <w:bidi w:val="0"/>
        <w:spacing w:before="0" w:beforeAutospacing="0" w:after="0" w:afterAutospacing="0" w:line="580" w:lineRule="exact"/>
        <w:ind w:left="0" w:right="0" w:firstLine="643" w:firstLineChars="200"/>
        <w:jc w:val="both"/>
        <w:textAlignment w:val="auto"/>
        <w:rPr>
          <w:rFonts w:hint="default" w:ascii="仿宋" w:hAnsi="仿宋" w:eastAsia="仿宋" w:cs="仿宋"/>
          <w:color w:val="000000"/>
          <w:kern w:val="2"/>
          <w:sz w:val="32"/>
          <w:szCs w:val="32"/>
          <w:lang w:val="en-US" w:eastAsia="zh-CN" w:bidi="ar"/>
        </w:rPr>
      </w:pPr>
      <w:r>
        <w:rPr>
          <w:rFonts w:hint="eastAsia" w:ascii="仿宋_GB2312" w:hAnsi="仿宋_GB2312" w:eastAsia="仿宋_GB2312" w:cs="仿宋_GB2312"/>
          <w:b/>
          <w:bCs/>
          <w:kern w:val="2"/>
          <w:sz w:val="32"/>
          <w:szCs w:val="32"/>
          <w:shd w:val="clear" w:color="auto" w:fill="auto"/>
          <w:lang w:val="en-US" w:eastAsia="zh-CN"/>
        </w:rPr>
        <w:t>一是</w:t>
      </w:r>
      <w:r>
        <w:rPr>
          <w:rFonts w:hint="eastAsia" w:ascii="仿宋_GB2312" w:hAnsi="仿宋_GB2312" w:eastAsia="仿宋_GB2312" w:cs="仿宋_GB2312"/>
          <w:b w:val="0"/>
          <w:bCs w:val="0"/>
          <w:kern w:val="2"/>
          <w:sz w:val="32"/>
          <w:szCs w:val="32"/>
          <w:shd w:val="clear" w:color="auto" w:fill="auto"/>
        </w:rPr>
        <w:t>做好监督。</w:t>
      </w:r>
      <w:r>
        <w:rPr>
          <w:rFonts w:hint="eastAsia" w:ascii="仿宋_GB2312" w:hAnsi="仿宋_GB2312" w:eastAsia="仿宋_GB2312" w:cs="仿宋_GB2312"/>
          <w:b w:val="0"/>
          <w:bCs w:val="0"/>
          <w:color w:val="000000"/>
          <w:kern w:val="0"/>
          <w:sz w:val="32"/>
          <w:szCs w:val="32"/>
          <w:shd w:val="clear" w:color="auto" w:fill="FFFFFF"/>
        </w:rPr>
        <w:t>强化日常跟踪，每月至少赴市县督导一次，传导工作压力，帮助解决实际困难和问题。</w:t>
      </w:r>
      <w:r>
        <w:rPr>
          <w:rFonts w:hint="eastAsia" w:ascii="仿宋_GB2312" w:hAnsi="仿宋_GB2312" w:eastAsia="仿宋_GB2312" w:cs="仿宋_GB2312"/>
          <w:b/>
          <w:bCs/>
          <w:color w:val="000000"/>
          <w:kern w:val="0"/>
          <w:sz w:val="32"/>
          <w:szCs w:val="32"/>
          <w:shd w:val="clear" w:color="auto" w:fill="FFFFFF"/>
          <w:lang w:val="en-US" w:eastAsia="zh-CN"/>
        </w:rPr>
        <w:t>二是</w:t>
      </w:r>
      <w:r>
        <w:rPr>
          <w:rFonts w:hint="eastAsia" w:ascii="仿宋_GB2312" w:hAnsi="仿宋_GB2312" w:eastAsia="仿宋_GB2312" w:cs="仿宋_GB2312"/>
          <w:b w:val="0"/>
          <w:bCs w:val="0"/>
          <w:kern w:val="2"/>
          <w:sz w:val="32"/>
          <w:szCs w:val="32"/>
          <w:shd w:val="clear" w:color="auto" w:fill="auto"/>
        </w:rPr>
        <w:t>规范项目资金管理。</w:t>
      </w:r>
      <w:r>
        <w:rPr>
          <w:rFonts w:hint="eastAsia" w:ascii="仿宋_GB2312" w:hAnsi="仿宋_GB2312" w:eastAsia="仿宋_GB2312" w:cs="仿宋_GB2312"/>
          <w:b w:val="0"/>
          <w:bCs w:val="0"/>
          <w:kern w:val="2"/>
          <w:sz w:val="32"/>
          <w:szCs w:val="32"/>
        </w:rPr>
        <w:t>推动各市县严格对照《海南省县域商业体系建设行动项目资金管理办法（暂行）》要求，建立健全项目申报、项目论证和评审、项目日常监督、项目验收和资金拨付的机制，确保申报主体合格、项目可行、资金支出合规。同时，加强资金拨付后的监管，明确资产权属和管护责任，依法依规整合、处置和盘活资产形成管护运营长效机制。</w:t>
      </w:r>
    </w:p>
    <w:p w14:paraId="5A2A3298">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0" w:firstLineChars="200"/>
        <w:jc w:val="both"/>
        <w:textAlignment w:val="auto"/>
        <w:rPr>
          <w:rFonts w:hint="eastAsia" w:ascii="楷体" w:hAnsi="楷体" w:eastAsia="楷体" w:cs="楷体"/>
          <w:color w:val="000000"/>
          <w:kern w:val="2"/>
          <w:sz w:val="32"/>
          <w:szCs w:val="32"/>
        </w:rPr>
      </w:pPr>
      <w:r>
        <w:rPr>
          <w:rFonts w:hint="eastAsia" w:ascii="楷体" w:hAnsi="楷体" w:eastAsia="楷体" w:cs="楷体"/>
          <w:color w:val="000000"/>
          <w:kern w:val="2"/>
          <w:sz w:val="32"/>
          <w:szCs w:val="32"/>
          <w:lang w:val="en-US" w:eastAsia="zh-CN" w:bidi="ar"/>
        </w:rPr>
        <w:t>（二）主要经验及做法、存在问题和建议</w:t>
      </w:r>
    </w:p>
    <w:p w14:paraId="5EDD2A11">
      <w:pPr>
        <w:keepNext w:val="0"/>
        <w:keepLines w:val="0"/>
        <w:pageBreakBefore w:val="0"/>
        <w:widowControl w:val="0"/>
        <w:kinsoku/>
        <w:wordWrap/>
        <w:overflowPunct/>
        <w:topLinePunct w:val="0"/>
        <w:autoSpaceDN/>
        <w:bidi w:val="0"/>
        <w:spacing w:line="580" w:lineRule="exact"/>
        <w:ind w:firstLine="640"/>
        <w:textAlignment w:val="auto"/>
        <w:rPr>
          <w:rFonts w:hint="eastAsia" w:ascii="Times New Roman" w:hAnsi="Times New Roman" w:eastAsia="仿宋_GB2312"/>
          <w:sz w:val="32"/>
          <w:szCs w:val="32"/>
        </w:rPr>
      </w:pPr>
      <w:r>
        <w:rPr>
          <w:rFonts w:hint="eastAsia" w:ascii="Times New Roman" w:hAnsi="Times New Roman" w:eastAsia="仿宋_GB2312" w:cs="Times New Roman"/>
          <w:sz w:val="32"/>
          <w:szCs w:val="32"/>
          <w:lang w:val="en-US" w:eastAsia="zh-CN"/>
        </w:rPr>
        <w:t>存在问题：因县域商业建设行动资金以投入的设施设备金额为基数进行支持，低于其他资金按照项目投资总额为基数给予的支持，支持力度低，大企业参与积极性不高，部分优质项目选择申报发改等部门项目。我省申报项目中增强农村产品上行动能占比</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，补齐县域商业基础设施短板和完善县乡村三级物流配送体系的项目较少，项目的质量需进一步提升。</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建议：</w:t>
      </w:r>
      <w:r>
        <w:rPr>
          <w:rFonts w:hint="eastAsia" w:ascii="Times New Roman" w:hAnsi="Times New Roman" w:eastAsia="仿宋_GB2312"/>
          <w:sz w:val="32"/>
          <w:szCs w:val="32"/>
        </w:rPr>
        <w:t>通过</w:t>
      </w:r>
      <w:r>
        <w:rPr>
          <w:rFonts w:hint="eastAsia" w:ascii="Times New Roman" w:hAnsi="Times New Roman" w:eastAsia="仿宋_GB2312"/>
          <w:sz w:val="32"/>
          <w:szCs w:val="32"/>
          <w:lang w:val="en-US" w:eastAsia="zh-CN"/>
        </w:rPr>
        <w:t>实施县域商业建设行动</w:t>
      </w:r>
      <w:r>
        <w:rPr>
          <w:rFonts w:hint="eastAsia" w:ascii="Times New Roman" w:hAnsi="Times New Roman" w:eastAsia="仿宋_GB2312"/>
          <w:sz w:val="32"/>
          <w:szCs w:val="32"/>
        </w:rPr>
        <w:t>，全省基本实现县县有连锁商超和物流配送中心、乡镇有商贸中心、村村通快递的目标。但同时看到，</w:t>
      </w:r>
      <w:r>
        <w:rPr>
          <w:rFonts w:hint="eastAsia" w:ascii="Times New Roman" w:hAnsi="Times New Roman" w:eastAsia="仿宋_GB2312"/>
          <w:color w:val="auto"/>
          <w:sz w:val="32"/>
          <w:szCs w:val="32"/>
          <w:lang w:val="en-US" w:eastAsia="zh-CN"/>
        </w:rPr>
        <w:t>海南</w:t>
      </w:r>
      <w:r>
        <w:rPr>
          <w:rFonts w:hint="eastAsia" w:ascii="Times New Roman" w:hAnsi="Times New Roman" w:eastAsia="仿宋_GB2312"/>
          <w:color w:val="auto"/>
          <w:sz w:val="32"/>
          <w:szCs w:val="32"/>
        </w:rPr>
        <w:t>省县域商业基础设施短板依然存在</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部分偏远地区</w:t>
      </w:r>
      <w:r>
        <w:rPr>
          <w:rFonts w:hint="eastAsia" w:ascii="Times New Roman" w:hAnsi="Times New Roman" w:eastAsia="仿宋_GB2312"/>
          <w:sz w:val="32"/>
          <w:szCs w:val="32"/>
        </w:rPr>
        <w:t>商业设施老化、物流配送成本高、农产品流通损耗高，</w:t>
      </w:r>
      <w:r>
        <w:rPr>
          <w:rFonts w:hint="eastAsia" w:ascii="Times New Roman" w:hAnsi="Times New Roman" w:eastAsia="仿宋_GB2312"/>
          <w:sz w:val="32"/>
          <w:szCs w:val="32"/>
          <w:lang w:val="en-US" w:eastAsia="zh-CN"/>
        </w:rPr>
        <w:t>品牌价值等短板、</w:t>
      </w:r>
      <w:r>
        <w:rPr>
          <w:rFonts w:hint="eastAsia" w:ascii="Times New Roman" w:hAnsi="Times New Roman" w:eastAsia="仿宋_GB2312"/>
          <w:sz w:val="32"/>
          <w:szCs w:val="32"/>
        </w:rPr>
        <w:t>区域发展不均衡矛盾依然突出，城乡商品和服务供给还有较大差距，为进一步实施乡村振兴和新兴城镇化、提振消费，满足人民群众对美好生活的向往，建议</w:t>
      </w:r>
      <w:r>
        <w:rPr>
          <w:rFonts w:hint="eastAsia" w:ascii="Times New Roman" w:hAnsi="Times New Roman" w:eastAsia="仿宋_GB2312"/>
          <w:sz w:val="32"/>
          <w:szCs w:val="32"/>
          <w:lang w:val="en-US" w:eastAsia="zh-CN"/>
        </w:rPr>
        <w:t>继续加大县域商业基础设施支持</w:t>
      </w:r>
      <w:r>
        <w:rPr>
          <w:rFonts w:hint="eastAsia" w:ascii="Times New Roman" w:hAnsi="Times New Roman" w:eastAsia="仿宋_GB2312"/>
          <w:sz w:val="32"/>
          <w:szCs w:val="32"/>
        </w:rPr>
        <w:t>。</w:t>
      </w:r>
    </w:p>
    <w:p w14:paraId="11D01773">
      <w:pPr>
        <w:keepNext w:val="0"/>
        <w:keepLines w:val="0"/>
        <w:pageBreakBefore w:val="0"/>
        <w:widowControl w:val="0"/>
        <w:kinsoku/>
        <w:wordWrap/>
        <w:overflowPunct/>
        <w:topLinePunct w:val="0"/>
        <w:autoSpaceDN/>
        <w:bidi w:val="0"/>
        <w:spacing w:line="580" w:lineRule="exact"/>
        <w:ind w:firstLine="640" w:firstLineChars="200"/>
        <w:textAlignment w:val="auto"/>
        <w:rPr>
          <w:rFonts w:hint="default" w:ascii="Times New Roman" w:hAnsi="Times New Roman" w:eastAsia="仿宋_GB2312" w:cs="Times New Roman"/>
          <w:sz w:val="32"/>
          <w:szCs w:val="32"/>
          <w:lang w:val="en-US" w:eastAsia="zh-CN"/>
        </w:rPr>
      </w:pPr>
    </w:p>
    <w:p w14:paraId="41B2E1D5">
      <w:pPr>
        <w:keepNext w:val="0"/>
        <w:keepLines w:val="0"/>
        <w:pageBreakBefore w:val="0"/>
        <w:widowControl w:val="0"/>
        <w:kinsoku/>
        <w:wordWrap/>
        <w:overflowPunct/>
        <w:topLinePunct w:val="0"/>
        <w:autoSpaceDN/>
        <w:bidi w:val="0"/>
        <w:spacing w:line="580" w:lineRule="exact"/>
        <w:textAlignment w:val="auto"/>
        <w:rPr>
          <w:rFonts w:hint="default" w:eastAsiaTheme="minorEastAsia"/>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0955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C063D7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C063D7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86ABE"/>
    <w:multiLevelType w:val="singleLevel"/>
    <w:tmpl w:val="83986ABE"/>
    <w:lvl w:ilvl="0" w:tentative="0">
      <w:start w:val="1"/>
      <w:numFmt w:val="chineseCounting"/>
      <w:suff w:val="nothing"/>
      <w:lvlText w:val="（%1）"/>
      <w:lvlJc w:val="left"/>
      <w:rPr>
        <w:rFonts w:hint="eastAsia"/>
      </w:rPr>
    </w:lvl>
  </w:abstractNum>
  <w:abstractNum w:abstractNumId="1">
    <w:nsid w:val="E02B4DE0"/>
    <w:multiLevelType w:val="singleLevel"/>
    <w:tmpl w:val="E02B4DE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91BB9"/>
    <w:rsid w:val="0E370F62"/>
    <w:rsid w:val="16F60ABB"/>
    <w:rsid w:val="1A8E44CF"/>
    <w:rsid w:val="3C4B11D8"/>
    <w:rsid w:val="3E0B08DA"/>
    <w:rsid w:val="4A680BF2"/>
    <w:rsid w:val="591B0C72"/>
    <w:rsid w:val="598C48FA"/>
    <w:rsid w:val="67860E67"/>
    <w:rsid w:val="6D8433BC"/>
    <w:rsid w:val="75E06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0"/>
    <w:pPr>
      <w:keepNext w:val="0"/>
      <w:keepLines w:val="0"/>
      <w:widowControl w:val="0"/>
      <w:suppressLineNumbers w:val="0"/>
      <w:spacing w:before="240" w:beforeAutospacing="0" w:after="60" w:afterAutospacing="0"/>
      <w:jc w:val="center"/>
      <w:outlineLvl w:val="0"/>
    </w:pPr>
    <w:rPr>
      <w:rFonts w:hint="default" w:ascii="Cambria" w:hAnsi="Cambria" w:eastAsia="宋体" w:cs="Times New Roman"/>
      <w:b/>
      <w:bCs/>
      <w:kern w:val="2"/>
      <w:sz w:val="21"/>
      <w:szCs w:val="21"/>
      <w:lang w:val="en-US" w:eastAsia="zh-CN" w:bidi="ar"/>
    </w:rPr>
  </w:style>
  <w:style w:type="character" w:customStyle="1" w:styleId="7">
    <w:name w:val="10"/>
    <w:basedOn w:val="6"/>
    <w:uiPriority w:val="0"/>
    <w:rPr>
      <w:rFonts w:hint="default" w:ascii="Times New Roman" w:hAnsi="Times New Roman" w:cs="Times New Roman"/>
    </w:rPr>
  </w:style>
  <w:style w:type="character" w:customStyle="1" w:styleId="8">
    <w:name w:val="15"/>
    <w:basedOn w:val="6"/>
    <w:uiPriority w:val="0"/>
    <w:rPr>
      <w:rFonts w:hint="default" w:ascii="Times New Roman" w:hAnsi="Times New Roman" w:cs="Times New Roman"/>
    </w:rPr>
  </w:style>
  <w:style w:type="paragraph" w:customStyle="1" w:styleId="9">
    <w:name w:val="报告正文"/>
    <w:basedOn w:val="1"/>
    <w:qFormat/>
    <w:uiPriority w:val="0"/>
    <w:pPr>
      <w:keepNext w:val="0"/>
      <w:keepLines w:val="0"/>
      <w:widowControl w:val="0"/>
      <w:suppressLineNumbers w:val="0"/>
      <w:spacing w:before="0" w:beforeAutospacing="0" w:after="0" w:afterAutospacing="0"/>
      <w:ind w:left="0" w:right="0" w:firstLine="200"/>
      <w:jc w:val="both"/>
    </w:pPr>
    <w:rPr>
      <w:rFonts w:hint="default" w:ascii="Calibri" w:hAnsi="Calibri" w:eastAsia="宋体" w:cs="宋体"/>
      <w:kern w:val="2"/>
      <w:sz w:val="21"/>
      <w:szCs w:val="21"/>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2026-04-22T06:18:50Z</dcterms:created>
  <dc:creator>Zhouhailan</dc:creator>
  <cp:lastModifiedBy>ZHL</cp:lastModifiedBy>
  <dcterms:modified xsi:type="dcterms:W3CDTF">2026-04-22T07:05:24Z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F7888E8A0E8E489DA1596268B8DFF64B_12</vt:lpwstr>
  </property>
</Properties>
</file>