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80" w:lineRule="exact"/>
        <w:textAlignment w:val="auto"/>
        <w:rPr>
          <w:rFonts w:hint="eastAsia" w:ascii="黑体" w:hAnsi="黑体" w:eastAsia="黑体" w:cs="黑体"/>
          <w:bCs/>
          <w:sz w:val="32"/>
          <w:szCs w:val="32"/>
          <w:lang w:eastAsia="zh-CN"/>
        </w:rPr>
      </w:pPr>
      <w:r>
        <w:rPr>
          <w:rFonts w:hint="eastAsia" w:ascii="黑体" w:hAnsi="黑体" w:eastAsia="黑体" w:cs="黑体"/>
          <w:bCs/>
          <w:sz w:val="32"/>
          <w:szCs w:val="32"/>
        </w:rPr>
        <w:t>附件</w:t>
      </w:r>
      <w:r>
        <w:rPr>
          <w:rFonts w:hint="eastAsia" w:ascii="黑体" w:hAnsi="黑体" w:eastAsia="黑体" w:cs="黑体"/>
          <w:bCs/>
          <w:sz w:val="32"/>
          <w:szCs w:val="32"/>
          <w:lang w:val="en-US" w:eastAsia="zh-CN"/>
        </w:rPr>
        <w:t>4</w:t>
      </w: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eastAsia" w:ascii="方正小标宋简体" w:hAnsi="方正小标宋简体" w:eastAsia="方正小标宋简体" w:cs="方正小标宋简体"/>
          <w:b w:val="0"/>
          <w:bCs/>
          <w:sz w:val="36"/>
          <w:szCs w:val="44"/>
        </w:rPr>
      </w:pPr>
      <w:r>
        <w:rPr>
          <w:rFonts w:hint="eastAsia" w:ascii="方正小标宋简体" w:hAnsi="方正小标宋简体" w:eastAsia="方正小标宋简体" w:cs="方正小标宋简体"/>
          <w:b w:val="0"/>
          <w:bCs/>
          <w:sz w:val="36"/>
          <w:szCs w:val="44"/>
          <w:lang w:val="en-US" w:eastAsia="zh-CN"/>
        </w:rPr>
        <w:t>海南</w:t>
      </w:r>
      <w:r>
        <w:rPr>
          <w:rFonts w:hint="eastAsia" w:ascii="方正小标宋简体" w:hAnsi="方正小标宋简体" w:eastAsia="方正小标宋简体" w:cs="方正小标宋简体"/>
          <w:b w:val="0"/>
          <w:bCs/>
          <w:sz w:val="36"/>
          <w:szCs w:val="44"/>
        </w:rPr>
        <w:t>省</w:t>
      </w:r>
      <w:r>
        <w:rPr>
          <w:rFonts w:hint="eastAsia" w:ascii="方正小标宋简体" w:hAnsi="方正小标宋简体" w:eastAsia="方正小标宋简体" w:cs="方正小标宋简体"/>
          <w:b w:val="0"/>
          <w:bCs/>
          <w:sz w:val="36"/>
          <w:szCs w:val="44"/>
          <w:lang w:val="en-US" w:eastAsia="zh-CN"/>
        </w:rPr>
        <w:t>促进文体旅商展联动扩大消费</w:t>
      </w:r>
      <w:r>
        <w:rPr>
          <w:rFonts w:hint="eastAsia" w:ascii="方正小标宋简体" w:hAnsi="方正小标宋简体" w:eastAsia="方正小标宋简体" w:cs="方正小标宋简体"/>
          <w:b w:val="0"/>
          <w:bCs/>
          <w:sz w:val="36"/>
          <w:szCs w:val="44"/>
        </w:rPr>
        <w:t>转移支付20</w:t>
      </w:r>
      <w:r>
        <w:rPr>
          <w:rFonts w:hint="eastAsia" w:ascii="方正小标宋简体" w:hAnsi="方正小标宋简体" w:eastAsia="方正小标宋简体" w:cs="方正小标宋简体"/>
          <w:b w:val="0"/>
          <w:bCs/>
          <w:sz w:val="36"/>
          <w:szCs w:val="44"/>
          <w:lang w:val="en-US" w:eastAsia="zh-CN"/>
        </w:rPr>
        <w:t>2</w:t>
      </w:r>
      <w:r>
        <w:rPr>
          <w:rFonts w:hint="default" w:ascii="方正小标宋简体" w:hAnsi="方正小标宋简体" w:eastAsia="方正小标宋简体" w:cs="方正小标宋简体"/>
          <w:b w:val="0"/>
          <w:bCs/>
          <w:sz w:val="36"/>
          <w:szCs w:val="44"/>
          <w:lang w:val="en" w:eastAsia="zh-CN"/>
        </w:rPr>
        <w:t>5</w:t>
      </w:r>
      <w:r>
        <w:rPr>
          <w:rFonts w:hint="eastAsia" w:ascii="方正小标宋简体" w:hAnsi="方正小标宋简体" w:eastAsia="方正小标宋简体" w:cs="方正小标宋简体"/>
          <w:b w:val="0"/>
          <w:bCs/>
          <w:sz w:val="36"/>
          <w:szCs w:val="44"/>
        </w:rPr>
        <w:t>年度绩效自评报告</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ascii="黑体" w:hAnsi="黑体" w:eastAsia="黑体" w:cs="黑体"/>
          <w:bCs/>
          <w:szCs w:val="32"/>
        </w:rPr>
      </w:pPr>
      <w:r>
        <w:rPr>
          <w:rFonts w:hint="eastAsia" w:ascii="黑体" w:hAnsi="黑体" w:eastAsia="黑体" w:cs="黑体"/>
          <w:bCs/>
          <w:szCs w:val="32"/>
        </w:rPr>
        <w:t>一、绩效目标分解下达情况</w:t>
      </w:r>
    </w:p>
    <w:p>
      <w:pPr>
        <w:ind w:firstLine="640" w:firstLineChars="200"/>
        <w:rPr>
          <w:rFonts w:hint="default" w:ascii="仿宋_GB2312" w:hAnsi="Calibri" w:eastAsia="仿宋_GB2312" w:cs="仿宋_GB2312"/>
          <w:kern w:val="0"/>
          <w:sz w:val="32"/>
          <w:szCs w:val="32"/>
          <w:lang w:val="en-US" w:eastAsia="zh-CN" w:bidi="ar"/>
        </w:rPr>
      </w:pPr>
      <w:r>
        <w:rPr>
          <w:rFonts w:hint="eastAsia" w:ascii="仿宋_GB2312" w:hAnsi="Calibri" w:eastAsia="仿宋_GB2312" w:cs="仿宋_GB2312"/>
          <w:kern w:val="0"/>
          <w:sz w:val="32"/>
          <w:szCs w:val="32"/>
          <w:lang w:val="en-US" w:eastAsia="zh-CN" w:bidi="ar"/>
        </w:rPr>
        <w:t>根据《海南省进一步促进文体旅商展联动扩大消费若干措施》（琼财教〔2025〕112 号）有关规定，依据其中第十五条“支持餐饮住宿零售企业达限纳统与营收上规模”、第十七条“支持离岛免税企业促消费”和第八条“支持引进市场化大型会议活动”措施，我厅分别制定了三项实施细则：一是《海南省关于餐饮零售企业达限纳统与营收上规模奖励实施细则》，奖励标准分两类：第一类：2024年、2025年，当年营业收入达到限额以上单位标准，并纳入我省限额以上统计单位的餐饮、零售企业(含个体工商户),每家给予10万元奖励。第二类：2024年、2025年，在我省餐饮营业收入首次突破1000万元、3000万元、5000万元、1亿元的餐饮企业(含个体工商户),分别给予50万元、80万元、100万元、150万元奖励。二是《海南省关于离岛免税企业促消费奖励实施细则》（琼商消〔2025〕6号)。奖励标准为“</w:t>
      </w:r>
      <w:r>
        <w:rPr>
          <w:rFonts w:hint="default" w:ascii="仿宋_GB2312" w:hAnsi="Calibri" w:eastAsia="仿宋_GB2312" w:cs="仿宋_GB2312"/>
          <w:kern w:val="0"/>
          <w:sz w:val="32"/>
          <w:szCs w:val="32"/>
          <w:lang w:val="en-US" w:eastAsia="zh-CN" w:bidi="ar"/>
        </w:rPr>
        <w:t>对离岛免税</w:t>
      </w:r>
      <w:r>
        <w:rPr>
          <w:rFonts w:hint="eastAsia" w:ascii="仿宋_GB2312" w:hAnsi="Calibri" w:eastAsia="仿宋_GB2312" w:cs="仿宋_GB2312"/>
          <w:kern w:val="0"/>
          <w:sz w:val="32"/>
          <w:szCs w:val="32"/>
          <w:lang w:val="en-US" w:eastAsia="zh-CN" w:bidi="ar"/>
        </w:rPr>
        <w:t>经营</w:t>
      </w:r>
      <w:r>
        <w:rPr>
          <w:rFonts w:hint="default" w:ascii="仿宋_GB2312" w:hAnsi="Calibri" w:eastAsia="仿宋_GB2312" w:cs="仿宋_GB2312"/>
          <w:kern w:val="0"/>
          <w:sz w:val="32"/>
          <w:szCs w:val="32"/>
          <w:lang w:val="en-US" w:eastAsia="zh-CN" w:bidi="ar"/>
        </w:rPr>
        <w:t>主体，2025年每月纳统销售额同比增长超过11%的，按照纳统销售额分档给予消费券资金奖励。在5</w:t>
      </w:r>
      <w:r>
        <w:rPr>
          <w:rFonts w:hint="eastAsia" w:ascii="仿宋_GB2312" w:hAnsi="Calibri" w:eastAsia="仿宋_GB2312" w:cs="仿宋_GB2312"/>
          <w:kern w:val="0"/>
          <w:sz w:val="32"/>
          <w:szCs w:val="32"/>
          <w:lang w:val="en-US" w:eastAsia="zh-CN" w:bidi="ar"/>
        </w:rPr>
        <w:t>-</w:t>
      </w:r>
      <w:r>
        <w:rPr>
          <w:rFonts w:hint="default" w:ascii="仿宋_GB2312" w:hAnsi="Calibri" w:eastAsia="仿宋_GB2312" w:cs="仿宋_GB2312"/>
          <w:kern w:val="0"/>
          <w:sz w:val="32"/>
          <w:szCs w:val="32"/>
          <w:lang w:val="en-US" w:eastAsia="zh-CN" w:bidi="ar"/>
        </w:rPr>
        <w:t>9月</w:t>
      </w:r>
      <w:r>
        <w:rPr>
          <w:rFonts w:hint="eastAsia" w:ascii="仿宋_GB2312" w:hAnsi="Calibri" w:eastAsia="仿宋_GB2312" w:cs="仿宋_GB2312"/>
          <w:kern w:val="0"/>
          <w:sz w:val="32"/>
          <w:szCs w:val="32"/>
          <w:lang w:val="en-US" w:eastAsia="zh-CN" w:bidi="ar"/>
        </w:rPr>
        <w:t>，</w:t>
      </w:r>
      <w:r>
        <w:rPr>
          <w:rFonts w:hint="default" w:ascii="仿宋_GB2312" w:hAnsi="Calibri" w:eastAsia="仿宋_GB2312" w:cs="仿宋_GB2312"/>
          <w:kern w:val="0"/>
          <w:sz w:val="32"/>
          <w:szCs w:val="32"/>
          <w:lang w:val="en-US" w:eastAsia="zh-CN" w:bidi="ar"/>
        </w:rPr>
        <w:t>月度纳统销售额 3000万元</w:t>
      </w:r>
      <w:r>
        <w:rPr>
          <w:rFonts w:hint="eastAsia" w:ascii="仿宋_GB2312" w:hAnsi="Calibri" w:eastAsia="仿宋_GB2312" w:cs="仿宋_GB2312"/>
          <w:kern w:val="0"/>
          <w:sz w:val="32"/>
          <w:szCs w:val="32"/>
          <w:lang w:val="en-US" w:eastAsia="zh-CN" w:bidi="ar"/>
        </w:rPr>
        <w:t>-</w:t>
      </w:r>
      <w:r>
        <w:rPr>
          <w:rFonts w:hint="default" w:ascii="仿宋_GB2312" w:hAnsi="Calibri" w:eastAsia="仿宋_GB2312" w:cs="仿宋_GB2312"/>
          <w:kern w:val="0"/>
          <w:sz w:val="32"/>
          <w:szCs w:val="32"/>
          <w:lang w:val="en-US" w:eastAsia="zh-CN" w:bidi="ar"/>
        </w:rPr>
        <w:t>1亿元(含)，每月奖励 30万元；1亿元</w:t>
      </w:r>
      <w:r>
        <w:rPr>
          <w:rFonts w:hint="eastAsia" w:ascii="仿宋_GB2312" w:hAnsi="Calibri" w:eastAsia="仿宋_GB2312" w:cs="仿宋_GB2312"/>
          <w:kern w:val="0"/>
          <w:sz w:val="32"/>
          <w:szCs w:val="32"/>
          <w:lang w:val="en-US" w:eastAsia="zh-CN" w:bidi="ar"/>
        </w:rPr>
        <w:t>-</w:t>
      </w:r>
      <w:r>
        <w:rPr>
          <w:rFonts w:hint="default" w:ascii="仿宋_GB2312" w:hAnsi="Calibri" w:eastAsia="仿宋_GB2312" w:cs="仿宋_GB2312"/>
          <w:kern w:val="0"/>
          <w:sz w:val="32"/>
          <w:szCs w:val="32"/>
          <w:lang w:val="en-US" w:eastAsia="zh-CN" w:bidi="ar"/>
        </w:rPr>
        <w:t>20亿元(含)，每月奖励 50万元；20亿元以上，每月奖励 300 万元。在1</w:t>
      </w:r>
      <w:r>
        <w:rPr>
          <w:rFonts w:hint="eastAsia" w:ascii="仿宋_GB2312" w:hAnsi="Calibri" w:eastAsia="仿宋_GB2312" w:cs="仿宋_GB2312"/>
          <w:kern w:val="0"/>
          <w:sz w:val="32"/>
          <w:szCs w:val="32"/>
          <w:lang w:val="en-US" w:eastAsia="zh-CN" w:bidi="ar"/>
        </w:rPr>
        <w:t>-</w:t>
      </w:r>
      <w:r>
        <w:rPr>
          <w:rFonts w:hint="default" w:ascii="仿宋_GB2312" w:hAnsi="Calibri" w:eastAsia="仿宋_GB2312" w:cs="仿宋_GB2312"/>
          <w:kern w:val="0"/>
          <w:sz w:val="32"/>
          <w:szCs w:val="32"/>
          <w:lang w:val="en-US" w:eastAsia="zh-CN" w:bidi="ar"/>
        </w:rPr>
        <w:t>4月、10</w:t>
      </w:r>
      <w:r>
        <w:rPr>
          <w:rFonts w:hint="eastAsia" w:ascii="仿宋_GB2312" w:hAnsi="Calibri" w:eastAsia="仿宋_GB2312" w:cs="仿宋_GB2312"/>
          <w:kern w:val="0"/>
          <w:sz w:val="32"/>
          <w:szCs w:val="32"/>
          <w:lang w:val="en-US" w:eastAsia="zh-CN" w:bidi="ar"/>
        </w:rPr>
        <w:t>-</w:t>
      </w:r>
      <w:r>
        <w:rPr>
          <w:rFonts w:hint="default" w:ascii="仿宋_GB2312" w:hAnsi="Calibri" w:eastAsia="仿宋_GB2312" w:cs="仿宋_GB2312"/>
          <w:kern w:val="0"/>
          <w:sz w:val="32"/>
          <w:szCs w:val="32"/>
          <w:lang w:val="en-US" w:eastAsia="zh-CN" w:bidi="ar"/>
        </w:rPr>
        <w:t>12月，月度纳统销售额</w:t>
      </w:r>
      <w:r>
        <w:rPr>
          <w:rFonts w:hint="eastAsia" w:ascii="仿宋_GB2312" w:hAnsi="Calibri" w:eastAsia="仿宋_GB2312" w:cs="仿宋_GB2312"/>
          <w:kern w:val="0"/>
          <w:sz w:val="32"/>
          <w:szCs w:val="32"/>
          <w:lang w:val="en-US" w:eastAsia="zh-CN" w:bidi="ar"/>
        </w:rPr>
        <w:t>1</w:t>
      </w:r>
      <w:r>
        <w:rPr>
          <w:rFonts w:hint="default" w:ascii="仿宋_GB2312" w:hAnsi="Calibri" w:eastAsia="仿宋_GB2312" w:cs="仿宋_GB2312"/>
          <w:kern w:val="0"/>
          <w:sz w:val="32"/>
          <w:szCs w:val="32"/>
          <w:lang w:val="en-US" w:eastAsia="zh-CN" w:bidi="ar"/>
        </w:rPr>
        <w:t>亿元</w:t>
      </w:r>
      <w:r>
        <w:rPr>
          <w:rFonts w:hint="eastAsia" w:ascii="仿宋_GB2312" w:hAnsi="Calibri" w:eastAsia="仿宋_GB2312" w:cs="仿宋_GB2312"/>
          <w:kern w:val="0"/>
          <w:sz w:val="32"/>
          <w:szCs w:val="32"/>
          <w:lang w:val="en-US" w:eastAsia="zh-CN" w:bidi="ar"/>
        </w:rPr>
        <w:t>-2</w:t>
      </w:r>
      <w:r>
        <w:rPr>
          <w:rFonts w:hint="default" w:ascii="仿宋_GB2312" w:hAnsi="Calibri" w:eastAsia="仿宋_GB2312" w:cs="仿宋_GB2312"/>
          <w:kern w:val="0"/>
          <w:sz w:val="32"/>
          <w:szCs w:val="32"/>
          <w:lang w:val="en-US" w:eastAsia="zh-CN" w:bidi="ar"/>
        </w:rPr>
        <w:t>亿元(含)，每月奖励30万元: 2亿元</w:t>
      </w:r>
      <w:r>
        <w:rPr>
          <w:rFonts w:hint="eastAsia" w:ascii="仿宋_GB2312" w:hAnsi="Calibri" w:eastAsia="仿宋_GB2312" w:cs="仿宋_GB2312"/>
          <w:kern w:val="0"/>
          <w:sz w:val="32"/>
          <w:szCs w:val="32"/>
          <w:lang w:val="en-US" w:eastAsia="zh-CN" w:bidi="ar"/>
        </w:rPr>
        <w:t>-</w:t>
      </w:r>
      <w:r>
        <w:rPr>
          <w:rFonts w:hint="default" w:ascii="仿宋_GB2312" w:hAnsi="Calibri" w:eastAsia="仿宋_GB2312" w:cs="仿宋_GB2312"/>
          <w:kern w:val="0"/>
          <w:sz w:val="32"/>
          <w:szCs w:val="32"/>
          <w:lang w:val="en-US" w:eastAsia="zh-CN" w:bidi="ar"/>
        </w:rPr>
        <w:t>30亿元(含)，每月奖励50万元；30亿元以上，每月奖励300万元。对年度纳统销售额超出11%增长的部分，按照每增长1亿元，奖励资金增加100万元，每家免税主体最高奖励金额不超过3000万元</w:t>
      </w:r>
      <w:r>
        <w:rPr>
          <w:rFonts w:hint="eastAsia" w:ascii="仿宋_GB2312" w:hAnsi="Calibri" w:eastAsia="仿宋_GB2312" w:cs="仿宋_GB2312"/>
          <w:kern w:val="0"/>
          <w:sz w:val="32"/>
          <w:szCs w:val="32"/>
          <w:lang w:val="en-US" w:eastAsia="zh-CN" w:bidi="ar"/>
        </w:rPr>
        <w:t>”。三是</w:t>
      </w:r>
      <w:r>
        <w:rPr>
          <w:rFonts w:hint="default" w:ascii="仿宋_GB2312" w:hAnsi="Calibri" w:eastAsia="仿宋_GB2312" w:cs="仿宋_GB2312"/>
          <w:kern w:val="0"/>
          <w:sz w:val="32"/>
          <w:szCs w:val="32"/>
          <w:lang w:val="en-US" w:eastAsia="zh-CN" w:bidi="ar"/>
        </w:rPr>
        <w:t>《海南省引进市场化大型会议活动奖励实施细则》</w:t>
      </w:r>
      <w:r>
        <w:rPr>
          <w:rFonts w:hint="eastAsia" w:ascii="仿宋_GB2312" w:hAnsi="Calibri" w:eastAsia="仿宋_GB2312" w:cs="仿宋_GB2312"/>
          <w:kern w:val="0"/>
          <w:sz w:val="32"/>
          <w:szCs w:val="32"/>
          <w:lang w:val="en-US" w:eastAsia="zh-CN" w:bidi="ar"/>
        </w:rPr>
        <w:t>(</w:t>
      </w:r>
      <w:r>
        <w:rPr>
          <w:rFonts w:hint="default" w:ascii="仿宋_GB2312" w:hAnsi="Calibri" w:eastAsia="仿宋_GB2312" w:cs="仿宋_GB2312"/>
          <w:kern w:val="0"/>
          <w:sz w:val="32"/>
          <w:szCs w:val="32"/>
          <w:lang w:val="en-US" w:eastAsia="zh-CN" w:bidi="ar"/>
        </w:rPr>
        <w:t>琼商展〔2025〕17 号</w:t>
      </w:r>
      <w:r>
        <w:rPr>
          <w:rFonts w:hint="eastAsia" w:ascii="仿宋_GB2312" w:hAnsi="Calibri" w:eastAsia="仿宋_GB2312" w:cs="仿宋_GB2312"/>
          <w:kern w:val="0"/>
          <w:sz w:val="32"/>
          <w:szCs w:val="32"/>
          <w:lang w:val="en-US" w:eastAsia="zh-CN" w:bidi="ar"/>
        </w:rPr>
        <w:t>)。</w:t>
      </w:r>
      <w:r>
        <w:rPr>
          <w:rFonts w:hint="default" w:ascii="仿宋_GB2312" w:hAnsi="Calibri" w:eastAsia="仿宋_GB2312" w:cs="仿宋_GB2312"/>
          <w:kern w:val="0"/>
          <w:sz w:val="32"/>
          <w:szCs w:val="32"/>
          <w:lang w:val="en-US" w:eastAsia="zh-CN" w:bidi="ar"/>
        </w:rPr>
        <w:t>奖励标准</w:t>
      </w:r>
      <w:r>
        <w:rPr>
          <w:rFonts w:hint="eastAsia" w:ascii="仿宋_GB2312" w:hAnsi="Calibri" w:eastAsia="仿宋_GB2312" w:cs="仿宋_GB2312"/>
          <w:kern w:val="0"/>
          <w:sz w:val="32"/>
          <w:szCs w:val="32"/>
          <w:lang w:val="en-US" w:eastAsia="zh-CN" w:bidi="ar"/>
        </w:rPr>
        <w:t>：</w:t>
      </w:r>
      <w:r>
        <w:rPr>
          <w:rFonts w:hint="default" w:ascii="仿宋_GB2312" w:hAnsi="Calibri" w:eastAsia="仿宋_GB2312" w:cs="仿宋_GB2312"/>
          <w:kern w:val="0"/>
          <w:sz w:val="32"/>
          <w:szCs w:val="32"/>
          <w:lang w:val="en-US" w:eastAsia="zh-CN" w:bidi="ar"/>
        </w:rPr>
        <w:t>符合支持条件的，以事后奖励方式，</w:t>
      </w:r>
      <w:r>
        <w:rPr>
          <w:rFonts w:hint="eastAsia" w:ascii="仿宋_GB2312" w:hAnsi="Calibri" w:eastAsia="仿宋_GB2312" w:cs="仿宋_GB2312"/>
          <w:kern w:val="0"/>
          <w:sz w:val="32"/>
          <w:szCs w:val="32"/>
          <w:lang w:val="en-US" w:eastAsia="zh-CN" w:bidi="ar"/>
        </w:rPr>
        <w:t>按照参会代表住宿酒店间/夜数对申报单位予以支持。（一）单次参会人数2000人-4000人，每间/夜奖励100元。（二）单次参会人数超过4000人，每间/夜奖励200元。（三）在5月-9月举办的，按上述标准上浮20%奖励。（四）每个会议奖励金额最高不超过参会代表接待酒店住</w:t>
      </w:r>
      <w:r>
        <w:rPr>
          <w:rFonts w:hint="default" w:ascii="仿宋_GB2312" w:hAnsi="Calibri" w:eastAsia="仿宋_GB2312" w:cs="仿宋_GB2312"/>
          <w:kern w:val="0"/>
          <w:sz w:val="32"/>
          <w:szCs w:val="32"/>
          <w:lang w:val="en-US" w:eastAsia="zh-CN" w:bidi="ar"/>
        </w:rPr>
        <w:t>宿总支出的 70%</w:t>
      </w:r>
      <w:r>
        <w:rPr>
          <w:rFonts w:hint="eastAsia" w:ascii="仿宋_GB2312" w:hAnsi="Calibri" w:eastAsia="仿宋_GB2312" w:cs="仿宋_GB2312"/>
          <w:kern w:val="0"/>
          <w:sz w:val="32"/>
          <w:szCs w:val="32"/>
          <w:lang w:val="en-US" w:eastAsia="zh-CN" w:bidi="ar"/>
        </w:rPr>
        <w:t>。</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ascii="黑体" w:hAnsi="黑体" w:eastAsia="黑体" w:cs="黑体"/>
          <w:bCs/>
          <w:szCs w:val="32"/>
          <w:highlight w:val="none"/>
        </w:rPr>
      </w:pPr>
      <w:r>
        <w:rPr>
          <w:rFonts w:hint="eastAsia" w:ascii="黑体" w:hAnsi="黑体" w:eastAsia="黑体" w:cs="黑体"/>
          <w:bCs/>
          <w:szCs w:val="32"/>
          <w:highlight w:val="none"/>
        </w:rPr>
        <w:t>二、</w:t>
      </w:r>
      <w:r>
        <w:rPr>
          <w:rFonts w:hint="eastAsia" w:ascii="黑体" w:hAnsi="黑体" w:eastAsia="黑体" w:cs="黑体"/>
          <w:bCs/>
          <w:szCs w:val="32"/>
          <w:highlight w:val="none"/>
          <w:lang w:eastAsia="zh-CN"/>
        </w:rPr>
        <w:t>绩效</w:t>
      </w:r>
      <w:r>
        <w:rPr>
          <w:rFonts w:hint="eastAsia" w:ascii="黑体" w:hAnsi="黑体" w:eastAsia="黑体" w:cs="黑体"/>
          <w:bCs/>
          <w:szCs w:val="32"/>
          <w:highlight w:val="none"/>
        </w:rPr>
        <w:t>情况分析</w:t>
      </w:r>
    </w:p>
    <w:p>
      <w:pPr>
        <w:ind w:firstLine="602" w:firstLineChars="200"/>
        <w:rPr>
          <w:rFonts w:hint="eastAsia" w:ascii="仿宋_GB2312" w:hAnsi="Calibri" w:eastAsia="仿宋_GB2312" w:cs="仿宋_GB2312"/>
          <w:kern w:val="0"/>
          <w:sz w:val="32"/>
          <w:szCs w:val="32"/>
          <w:lang w:val="en-US" w:eastAsia="zh-CN" w:bidi="ar"/>
        </w:rPr>
      </w:pPr>
      <w:r>
        <w:rPr>
          <w:rFonts w:hint="eastAsia" w:ascii="楷体_GB2312" w:hAnsi="楷体_GB2312" w:eastAsia="楷体_GB2312" w:cs="楷体_GB2312"/>
          <w:b/>
          <w:bCs/>
          <w:szCs w:val="32"/>
          <w:highlight w:val="none"/>
        </w:rPr>
        <w:t>（一）资金投入情况分析。</w:t>
      </w:r>
      <w:r>
        <w:rPr>
          <w:rFonts w:hint="eastAsia" w:ascii="仿宋_GB2312" w:hAnsi="Calibri" w:eastAsia="仿宋_GB2312" w:cs="仿宋_GB2312"/>
          <w:kern w:val="0"/>
          <w:sz w:val="32"/>
          <w:szCs w:val="32"/>
          <w:lang w:val="en-US" w:eastAsia="zh-CN" w:bidi="ar"/>
        </w:rPr>
        <w:t>（分析资金投入及执行情况）</w:t>
      </w:r>
    </w:p>
    <w:p>
      <w:pPr>
        <w:keepNext w:val="0"/>
        <w:keepLines w:val="0"/>
        <w:widowControl/>
        <w:suppressLineNumbers w:val="0"/>
        <w:jc w:val="left"/>
        <w:rPr>
          <w:rFonts w:hint="eastAsia" w:ascii="仿宋_GB2312" w:hAnsi="Calibri" w:eastAsia="仿宋_GB2312" w:cs="仿宋_GB2312"/>
          <w:kern w:val="0"/>
          <w:sz w:val="32"/>
          <w:szCs w:val="32"/>
          <w:lang w:val="en-US" w:eastAsia="zh-CN" w:bidi="ar"/>
        </w:rPr>
      </w:pPr>
      <w:r>
        <w:rPr>
          <w:rFonts w:hint="eastAsia" w:ascii="仿宋_GB2312" w:hAnsi="Calibri" w:eastAsia="仿宋_GB2312" w:cs="仿宋_GB2312"/>
          <w:kern w:val="0"/>
          <w:sz w:val="32"/>
          <w:szCs w:val="32"/>
          <w:lang w:val="en-US" w:eastAsia="zh-CN" w:bidi="ar"/>
        </w:rPr>
        <w:t>我厅依据上述两项政策，2025年年初预算安排2100万元，因实际申报企业数量及符合条件的企业数量不及预期，年中预算调剂620</w:t>
      </w:r>
      <w:r>
        <w:rPr>
          <w:rFonts w:hint="eastAsia" w:ascii="仿宋_GB2312" w:hAnsi="Calibri" w:eastAsia="仿宋_GB2312" w:cs="仿宋_GB2312"/>
          <w:kern w:val="0"/>
          <w:sz w:val="32"/>
          <w:szCs w:val="32"/>
          <w:lang w:val="en-US" w:eastAsia="zh-CN" w:bidi="ar"/>
        </w:rPr>
        <w:t>万元至其他预算项目使用，实际安排预算1480</w:t>
      </w:r>
      <w:r>
        <w:rPr>
          <w:rFonts w:hint="eastAsia" w:ascii="仿宋_GB2312" w:hAnsi="Calibri" w:eastAsia="仿宋_GB2312" w:cs="仿宋_GB2312"/>
          <w:kern w:val="0"/>
          <w:sz w:val="32"/>
          <w:szCs w:val="32"/>
          <w:lang w:val="en-US" w:eastAsia="zh-CN" w:bidi="ar"/>
        </w:rPr>
        <w:t>万元，2025年该项目最终拨付1220.41</w:t>
      </w:r>
      <w:r>
        <w:rPr>
          <w:rFonts w:hint="eastAsia" w:ascii="仿宋_GB2312" w:hAnsi="Calibri" w:eastAsia="仿宋_GB2312" w:cs="仿宋_GB2312"/>
          <w:kern w:val="0"/>
          <w:sz w:val="32"/>
          <w:szCs w:val="32"/>
          <w:lang w:val="en-US" w:eastAsia="zh-CN" w:bidi="ar"/>
        </w:rPr>
        <w:t>万元，预算执行率82.46%。</w:t>
      </w:r>
    </w:p>
    <w:p>
      <w:pPr>
        <w:keepNext w:val="0"/>
        <w:keepLines w:val="0"/>
        <w:pageBreakBefore w:val="0"/>
        <w:widowControl w:val="0"/>
        <w:numPr>
          <w:ilvl w:val="0"/>
          <w:numId w:val="0"/>
        </w:numPr>
        <w:kinsoku/>
        <w:wordWrap/>
        <w:overflowPunct/>
        <w:topLinePunct w:val="0"/>
        <w:autoSpaceDE/>
        <w:autoSpaceDN/>
        <w:bidi w:val="0"/>
        <w:adjustRightInd/>
        <w:snapToGrid w:val="0"/>
        <w:spacing w:line="580" w:lineRule="exact"/>
        <w:ind w:firstLine="602" w:firstLineChars="200"/>
        <w:textAlignment w:val="auto"/>
        <w:outlineLvl w:val="0"/>
        <w:rPr>
          <w:rFonts w:hint="eastAsia" w:ascii="仿宋_GB2312" w:hAnsi="仿宋_GB2312" w:cs="仿宋_GB2312"/>
          <w:b w:val="0"/>
          <w:bCs w:val="0"/>
          <w:szCs w:val="32"/>
          <w:highlight w:val="none"/>
          <w:lang w:eastAsia="zh-CN"/>
        </w:rPr>
      </w:pPr>
      <w:bookmarkStart w:id="0" w:name="_GoBack"/>
      <w:bookmarkEnd w:id="0"/>
      <w:r>
        <w:rPr>
          <w:rFonts w:hint="eastAsia" w:ascii="楷体_GB2312" w:hAnsi="楷体_GB2312" w:eastAsia="楷体_GB2312" w:cs="楷体_GB2312"/>
          <w:b/>
          <w:bCs/>
          <w:szCs w:val="32"/>
          <w:highlight w:val="none"/>
          <w:lang w:val="en-US" w:eastAsia="zh-CN"/>
        </w:rPr>
        <w:t>（二）</w:t>
      </w:r>
      <w:r>
        <w:rPr>
          <w:rFonts w:hint="eastAsia" w:ascii="楷体_GB2312" w:hAnsi="楷体_GB2312" w:eastAsia="楷体_GB2312" w:cs="楷体_GB2312"/>
          <w:b/>
          <w:bCs/>
          <w:szCs w:val="32"/>
          <w:highlight w:val="none"/>
          <w:lang w:eastAsia="zh-CN"/>
        </w:rPr>
        <w:t>资金管理情况分析。</w:t>
      </w:r>
    </w:p>
    <w:p>
      <w:pPr>
        <w:ind w:firstLine="640" w:firstLineChars="200"/>
        <w:rPr>
          <w:rFonts w:hint="eastAsia" w:ascii="仿宋_GB2312" w:hAnsi="Calibri" w:eastAsia="仿宋_GB2312" w:cs="仿宋_GB2312"/>
          <w:kern w:val="0"/>
          <w:sz w:val="32"/>
          <w:szCs w:val="32"/>
          <w:lang w:val="en-US" w:eastAsia="zh-CN" w:bidi="ar"/>
        </w:rPr>
      </w:pPr>
      <w:r>
        <w:rPr>
          <w:rFonts w:hint="eastAsia" w:ascii="仿宋_GB2312" w:hAnsi="Calibri" w:eastAsia="仿宋_GB2312" w:cs="仿宋_GB2312"/>
          <w:kern w:val="0"/>
          <w:sz w:val="32"/>
          <w:szCs w:val="32"/>
          <w:lang w:val="en-US" w:eastAsia="zh-CN" w:bidi="ar"/>
        </w:rPr>
        <w:t>项目年度预算绩效目标主要从达到奖励标准企业数量≥10家、受支持企业资格符合率≥100%、离岛免税销售总额同比增幅≥3%促进社会消费零售总额增长≥3%、受支持企业满意度≥85%等方面来设定。</w:t>
      </w:r>
    </w:p>
    <w:p>
      <w:pPr>
        <w:keepNext w:val="0"/>
        <w:keepLines w:val="0"/>
        <w:pageBreakBefore w:val="0"/>
        <w:widowControl w:val="0"/>
        <w:numPr>
          <w:ilvl w:val="0"/>
          <w:numId w:val="0"/>
        </w:numPr>
        <w:kinsoku/>
        <w:wordWrap/>
        <w:overflowPunct/>
        <w:topLinePunct w:val="0"/>
        <w:autoSpaceDE/>
        <w:autoSpaceDN/>
        <w:bidi w:val="0"/>
        <w:adjustRightInd/>
        <w:snapToGrid w:val="0"/>
        <w:spacing w:line="580" w:lineRule="exact"/>
        <w:ind w:left="0" w:leftChars="0" w:firstLine="602" w:firstLineChars="200"/>
        <w:textAlignment w:val="auto"/>
        <w:outlineLvl w:val="0"/>
        <w:rPr>
          <w:rFonts w:hint="eastAsia" w:ascii="仿宋_GB2312" w:hAnsi="仿宋_GB2312" w:eastAsia="仿宋_GB2312" w:cs="仿宋_GB2312"/>
          <w:b w:val="0"/>
          <w:bCs w:val="0"/>
          <w:szCs w:val="32"/>
          <w:lang w:eastAsia="zh-CN"/>
        </w:rPr>
      </w:pPr>
      <w:r>
        <w:rPr>
          <w:rFonts w:hint="eastAsia" w:ascii="楷体_GB2312" w:hAnsi="楷体_GB2312" w:eastAsia="楷体_GB2312" w:cs="楷体_GB2312"/>
          <w:b/>
          <w:bCs/>
          <w:szCs w:val="32"/>
          <w:highlight w:val="none"/>
          <w:lang w:val="en-US" w:eastAsia="zh-CN"/>
        </w:rPr>
        <w:t>（三）总体绩效</w:t>
      </w:r>
      <w:r>
        <w:rPr>
          <w:rFonts w:hint="eastAsia" w:ascii="楷体_GB2312" w:hAnsi="楷体_GB2312" w:eastAsia="楷体_GB2312" w:cs="楷体_GB2312"/>
          <w:b/>
          <w:bCs/>
          <w:szCs w:val="32"/>
        </w:rPr>
        <w:t>目标完成情况分析。</w:t>
      </w:r>
    </w:p>
    <w:p>
      <w:pPr>
        <w:ind w:firstLine="640" w:firstLineChars="200"/>
        <w:rPr>
          <w:rFonts w:hint="default" w:ascii="仿宋_GB2312" w:hAnsi="Calibri" w:eastAsia="仿宋_GB2312" w:cs="仿宋_GB2312"/>
          <w:kern w:val="0"/>
          <w:sz w:val="32"/>
          <w:szCs w:val="32"/>
          <w:lang w:val="en-US" w:eastAsia="zh-CN" w:bidi="ar"/>
        </w:rPr>
      </w:pPr>
      <w:r>
        <w:rPr>
          <w:rFonts w:hint="eastAsia" w:ascii="仿宋_GB2312" w:hAnsi="Calibri" w:cs="仿宋_GB2312"/>
          <w:kern w:val="0"/>
          <w:sz w:val="32"/>
          <w:szCs w:val="32"/>
          <w:lang w:val="en-US" w:eastAsia="zh-CN" w:bidi="ar"/>
        </w:rPr>
        <w:t>依据</w:t>
      </w:r>
      <w:r>
        <w:rPr>
          <w:rFonts w:hint="eastAsia" w:ascii="仿宋_GB2312" w:hAnsi="Calibri" w:eastAsia="仿宋_GB2312" w:cs="仿宋_GB2312"/>
          <w:kern w:val="0"/>
          <w:sz w:val="32"/>
          <w:szCs w:val="32"/>
          <w:lang w:val="en-US" w:eastAsia="zh-CN" w:bidi="ar"/>
        </w:rPr>
        <w:t>《海南省关于餐饮零售企业达限纳统与营收上规模奖励实施细则》《海南省关于离岛免税企业促消费奖励实施细则》（琼商消〔2025〕6号)</w:t>
      </w:r>
      <w:r>
        <w:rPr>
          <w:rFonts w:hint="eastAsia" w:ascii="仿宋_GB2312" w:hAnsi="Calibri" w:cs="仿宋_GB2312"/>
          <w:kern w:val="0"/>
          <w:sz w:val="32"/>
          <w:szCs w:val="32"/>
          <w:lang w:val="en-US" w:eastAsia="zh-CN" w:bidi="ar"/>
        </w:rPr>
        <w:t>，我厅</w:t>
      </w:r>
      <w:r>
        <w:rPr>
          <w:rFonts w:hint="eastAsia" w:ascii="仿宋" w:hAnsi="仿宋" w:eastAsia="仿宋" w:cs="仿宋"/>
          <w:color w:val="000000"/>
          <w:sz w:val="32"/>
          <w:szCs w:val="32"/>
          <w:lang w:eastAsia="zh-CN"/>
        </w:rPr>
        <w:t>开通海易兑线上平台申报通道</w:t>
      </w:r>
      <w:r>
        <w:rPr>
          <w:rFonts w:hint="eastAsia" w:ascii="仿宋_GB2312" w:hAnsi="Calibri" w:eastAsia="仿宋_GB2312" w:cs="仿宋_GB2312"/>
          <w:kern w:val="0"/>
          <w:sz w:val="32"/>
          <w:szCs w:val="32"/>
          <w:lang w:val="en-US" w:eastAsia="zh-CN" w:bidi="ar"/>
        </w:rPr>
        <w:t>，各市县积极组织符合条件的企业申报。各企业线上提交材料后，省商务厅针对性组织审核工作，一是组织对申报达限纳统、离岛免税促消费奖励企业进行审核，并前往统计局复核免税经营主体提供的《批发和零售业商品销售和库存表》是否与统计局系统申报数相符；二是委托会计师事务所对申请营收上规模奖励企业提交的材料进行审核并出具审核报告</w:t>
      </w:r>
      <w:r>
        <w:rPr>
          <w:rFonts w:hint="eastAsia" w:ascii="仿宋_GB2312" w:hAnsi="Calibri" w:cs="仿宋_GB2312"/>
          <w:kern w:val="0"/>
          <w:sz w:val="32"/>
          <w:szCs w:val="32"/>
          <w:lang w:val="en-US" w:eastAsia="zh-CN" w:bidi="ar"/>
        </w:rPr>
        <w:t>。</w:t>
      </w:r>
      <w:r>
        <w:rPr>
          <w:rFonts w:hint="eastAsia" w:ascii="仿宋_GB2312" w:hAnsi="Calibri" w:eastAsia="仿宋_GB2312" w:cs="仿宋_GB2312"/>
          <w:kern w:val="0"/>
          <w:sz w:val="32"/>
          <w:szCs w:val="32"/>
          <w:lang w:val="en-US" w:eastAsia="zh-CN" w:bidi="ar"/>
        </w:rPr>
        <w:t>根据审核结果提出拟给予奖励的企业名单及金额，经公示无异议后提交厅务会研究讨论，依据厅务会审议意见提交相关材料拨付资金至各企业。经审核，2025年申报餐饮零售企业达限纳统符合条件企业54家，奖励540万元；餐饮企业营收上规模符合条件企业6家，奖励300万元；前三季度符合离岛免税促消费奖励条件企业2家，奖励120万元。奖励金额合计960万元。符合引进</w:t>
      </w:r>
      <w:r>
        <w:rPr>
          <w:rFonts w:hint="default" w:ascii="仿宋_GB2312" w:hAnsi="Calibri" w:eastAsia="仿宋_GB2312" w:cs="仿宋_GB2312"/>
          <w:kern w:val="0"/>
          <w:sz w:val="32"/>
          <w:szCs w:val="32"/>
          <w:lang w:val="en-US" w:eastAsia="zh-CN" w:bidi="ar"/>
        </w:rPr>
        <w:t>市场化大型会议活动</w:t>
      </w:r>
      <w:r>
        <w:rPr>
          <w:rFonts w:hint="eastAsia" w:ascii="仿宋_GB2312" w:hAnsi="Calibri" w:eastAsia="仿宋_GB2312" w:cs="仿宋_GB2312"/>
          <w:kern w:val="0"/>
          <w:sz w:val="32"/>
          <w:szCs w:val="32"/>
          <w:lang w:val="en-US" w:eastAsia="zh-CN" w:bidi="ar"/>
        </w:rPr>
        <w:t>奖励4家，奖励资金合计270.472万元，其中2025年已拨付2家企业的奖励资金合计260.412万元，尚余2家企业奖励资金合计10.06万元在2026年支付。</w:t>
      </w:r>
    </w:p>
    <w:p>
      <w:pPr>
        <w:keepNext w:val="0"/>
        <w:keepLines w:val="0"/>
        <w:pageBreakBefore w:val="0"/>
        <w:widowControl w:val="0"/>
        <w:numPr>
          <w:ilvl w:val="0"/>
          <w:numId w:val="0"/>
        </w:numPr>
        <w:kinsoku/>
        <w:wordWrap/>
        <w:overflowPunct/>
        <w:topLinePunct w:val="0"/>
        <w:autoSpaceDE/>
        <w:autoSpaceDN/>
        <w:bidi w:val="0"/>
        <w:adjustRightInd/>
        <w:snapToGrid w:val="0"/>
        <w:spacing w:line="580" w:lineRule="exact"/>
        <w:ind w:left="0" w:leftChars="0" w:firstLine="602" w:firstLineChars="200"/>
        <w:textAlignment w:val="auto"/>
        <w:outlineLvl w:val="0"/>
        <w:rPr>
          <w:rFonts w:hint="eastAsia" w:ascii="仿宋_GB2312"/>
          <w:szCs w:val="32"/>
        </w:rPr>
      </w:pPr>
      <w:r>
        <w:rPr>
          <w:rFonts w:hint="eastAsia" w:ascii="楷体_GB2312" w:hAnsi="楷体_GB2312" w:eastAsia="楷体_GB2312" w:cs="楷体_GB2312"/>
          <w:b/>
          <w:bCs/>
          <w:szCs w:val="32"/>
          <w:highlight w:val="none"/>
          <w:lang w:val="en-US" w:eastAsia="zh-CN"/>
        </w:rPr>
        <w:t>（四）绩效指标</w:t>
      </w:r>
      <w:r>
        <w:rPr>
          <w:rFonts w:hint="eastAsia" w:ascii="楷体_GB2312" w:hAnsi="楷体_GB2312" w:eastAsia="楷体_GB2312" w:cs="楷体_GB2312"/>
          <w:b/>
          <w:bCs/>
          <w:szCs w:val="32"/>
        </w:rPr>
        <w:t>完成情况分析。</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sz w:val="32"/>
          <w:szCs w:val="32"/>
          <w:lang w:val="en-US" w:eastAsia="zh-CN"/>
        </w:rPr>
      </w:pPr>
      <w:r>
        <w:rPr>
          <w:rFonts w:hint="eastAsia"/>
          <w:sz w:val="32"/>
          <w:szCs w:val="32"/>
          <w:lang w:val="en-US" w:eastAsia="zh-CN"/>
        </w:rPr>
        <w:t>该项目年度实际完成奖励企业66家，已完成年度目标任务；</w:t>
      </w:r>
      <w:r>
        <w:rPr>
          <w:rFonts w:hint="eastAsia"/>
          <w:sz w:val="32"/>
          <w:szCs w:val="32"/>
          <w:lang w:eastAsia="zh-CN"/>
        </w:rPr>
        <w:t>受支持企业资格符合率≥100</w:t>
      </w:r>
      <w:r>
        <w:rPr>
          <w:rFonts w:hint="eastAsia"/>
          <w:sz w:val="32"/>
          <w:szCs w:val="32"/>
          <w:lang w:val="en-US" w:eastAsia="zh-CN"/>
        </w:rPr>
        <w:t>%</w:t>
      </w:r>
      <w:r>
        <w:rPr>
          <w:rFonts w:hint="eastAsia"/>
          <w:sz w:val="32"/>
          <w:szCs w:val="32"/>
          <w:lang w:eastAsia="zh-CN"/>
        </w:rPr>
        <w:t>、</w:t>
      </w:r>
      <w:r>
        <w:rPr>
          <w:rFonts w:hint="eastAsia"/>
          <w:sz w:val="32"/>
          <w:szCs w:val="32"/>
          <w:lang w:val="en-US" w:eastAsia="zh-CN"/>
        </w:rPr>
        <w:t>离岛免税销售总额同比下降0.1%，未完成增幅</w:t>
      </w:r>
      <w:r>
        <w:rPr>
          <w:rFonts w:hint="eastAsia"/>
          <w:sz w:val="32"/>
          <w:szCs w:val="32"/>
          <w:lang w:eastAsia="zh-CN"/>
        </w:rPr>
        <w:t>≥</w:t>
      </w:r>
      <w:r>
        <w:rPr>
          <w:rFonts w:hint="eastAsia"/>
          <w:sz w:val="32"/>
          <w:szCs w:val="32"/>
          <w:lang w:val="en-US" w:eastAsia="zh-CN"/>
        </w:rPr>
        <w:t>3%的目标，主要是近年境外旅游复苏、跨境电商竞争激烈、国朝美妆崛起等因素，影响了离岛免税整体销售情况，2024年离岛免税销售额同比下降19%，通过优化离岛免税商品品类、提货政策以及一系列促消费举措，2025年离岛免税销售总额同比增长1%，实现正增长；2026年1-2月离岛免税销售总额同比增长30%，保持增长趋势；2025年社会消费品零售总额同比增长5%，已达到目标。</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黑体" w:hAnsi="黑体" w:eastAsia="黑体" w:cs="黑体"/>
          <w:lang w:val="en"/>
        </w:rPr>
      </w:pPr>
      <w:r>
        <w:rPr>
          <w:rFonts w:hint="eastAsia" w:ascii="黑体" w:hAnsi="黑体" w:eastAsia="黑体" w:cs="黑体"/>
          <w:bCs/>
          <w:szCs w:val="32"/>
        </w:rPr>
        <w:t>三、</w:t>
      </w:r>
      <w:r>
        <w:rPr>
          <w:rFonts w:hint="eastAsia" w:ascii="黑体" w:hAnsi="黑体" w:eastAsia="黑体" w:cs="黑体"/>
          <w:lang w:val="en"/>
        </w:rPr>
        <w:t>附件</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黑体" w:hAnsi="黑体" w:eastAsia="黑体" w:cs="黑体"/>
          <w:sz w:val="32"/>
          <w:szCs w:val="32"/>
          <w:lang w:val="en"/>
        </w:rPr>
      </w:pPr>
      <w:r>
        <w:rPr>
          <w:rFonts w:hint="eastAsia"/>
          <w:sz w:val="32"/>
          <w:szCs w:val="32"/>
        </w:rPr>
        <w:t>转移支付区域（项目）绩效自评表</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w:panose1 w:val="020B0503020204020204"/>
    <w:charset w:val="86"/>
    <w:family w:val="auto"/>
    <w:pitch w:val="default"/>
    <w:sig w:usb0="8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TrueTypeFonts/>
  <w:saveSubsetFonts/>
  <w:bordersDoNotSurroundHeader w:val="false"/>
  <w:bordersDoNotSurroundFooter w:val="false"/>
  <w:documentProtection w:edit="readOnly" w:enforcement="0"/>
  <w:defaultTabStop w:val="420"/>
  <w:drawingGridHorizontalSpacing w:val="150"/>
  <w:drawingGridVerticalSpacing w:val="581"/>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82"/>
    <w:rsid w:val="000101E1"/>
    <w:rsid w:val="000732DA"/>
    <w:rsid w:val="00075CDC"/>
    <w:rsid w:val="000B1E8F"/>
    <w:rsid w:val="000B6964"/>
    <w:rsid w:val="00103D16"/>
    <w:rsid w:val="00111638"/>
    <w:rsid w:val="00111928"/>
    <w:rsid w:val="0012041C"/>
    <w:rsid w:val="00164D84"/>
    <w:rsid w:val="00173016"/>
    <w:rsid w:val="0017509C"/>
    <w:rsid w:val="001808CA"/>
    <w:rsid w:val="001A4E46"/>
    <w:rsid w:val="001E03FE"/>
    <w:rsid w:val="002123E8"/>
    <w:rsid w:val="00250053"/>
    <w:rsid w:val="0029569C"/>
    <w:rsid w:val="002A5FA7"/>
    <w:rsid w:val="002B3EEF"/>
    <w:rsid w:val="002B54E4"/>
    <w:rsid w:val="002E5562"/>
    <w:rsid w:val="002F6705"/>
    <w:rsid w:val="00301FC0"/>
    <w:rsid w:val="00336A16"/>
    <w:rsid w:val="003663A3"/>
    <w:rsid w:val="00387DD5"/>
    <w:rsid w:val="003B0980"/>
    <w:rsid w:val="003C6374"/>
    <w:rsid w:val="003D2CB9"/>
    <w:rsid w:val="00413F12"/>
    <w:rsid w:val="00493012"/>
    <w:rsid w:val="004D2137"/>
    <w:rsid w:val="005D1514"/>
    <w:rsid w:val="005D7CC3"/>
    <w:rsid w:val="006218A1"/>
    <w:rsid w:val="00682A10"/>
    <w:rsid w:val="006A30E4"/>
    <w:rsid w:val="006A74BF"/>
    <w:rsid w:val="006C1CEE"/>
    <w:rsid w:val="006D5A86"/>
    <w:rsid w:val="00707C2E"/>
    <w:rsid w:val="00722A7D"/>
    <w:rsid w:val="00724A6B"/>
    <w:rsid w:val="0073331B"/>
    <w:rsid w:val="00733C2D"/>
    <w:rsid w:val="00756C7F"/>
    <w:rsid w:val="007D7E6E"/>
    <w:rsid w:val="00850797"/>
    <w:rsid w:val="00853FC4"/>
    <w:rsid w:val="008720F1"/>
    <w:rsid w:val="00882EFA"/>
    <w:rsid w:val="008B2F56"/>
    <w:rsid w:val="008F0996"/>
    <w:rsid w:val="00903791"/>
    <w:rsid w:val="009600BD"/>
    <w:rsid w:val="00961C83"/>
    <w:rsid w:val="009922BC"/>
    <w:rsid w:val="009E0D8C"/>
    <w:rsid w:val="00A02AF3"/>
    <w:rsid w:val="00A25077"/>
    <w:rsid w:val="00A610CC"/>
    <w:rsid w:val="00A8737E"/>
    <w:rsid w:val="00AA19AF"/>
    <w:rsid w:val="00BC6882"/>
    <w:rsid w:val="00BD3FE0"/>
    <w:rsid w:val="00BE58CF"/>
    <w:rsid w:val="00CA5578"/>
    <w:rsid w:val="00CA7DAA"/>
    <w:rsid w:val="00D04826"/>
    <w:rsid w:val="00D63908"/>
    <w:rsid w:val="00D8718A"/>
    <w:rsid w:val="00D93453"/>
    <w:rsid w:val="00DC524D"/>
    <w:rsid w:val="00E071D6"/>
    <w:rsid w:val="00ED3E0F"/>
    <w:rsid w:val="00F015E4"/>
    <w:rsid w:val="00F57F82"/>
    <w:rsid w:val="00F75224"/>
    <w:rsid w:val="00F91EAE"/>
    <w:rsid w:val="00FA086C"/>
    <w:rsid w:val="00FA2093"/>
    <w:rsid w:val="00FA357A"/>
    <w:rsid w:val="037D0BC8"/>
    <w:rsid w:val="0845082D"/>
    <w:rsid w:val="09E965F2"/>
    <w:rsid w:val="0B203DC7"/>
    <w:rsid w:val="0FF7AA4F"/>
    <w:rsid w:val="11BB562D"/>
    <w:rsid w:val="139840D3"/>
    <w:rsid w:val="143E091F"/>
    <w:rsid w:val="14865FC8"/>
    <w:rsid w:val="150C2DB0"/>
    <w:rsid w:val="1A7D29EA"/>
    <w:rsid w:val="1D994BCF"/>
    <w:rsid w:val="1E761F05"/>
    <w:rsid w:val="1F7BE1E6"/>
    <w:rsid w:val="1FC7205C"/>
    <w:rsid w:val="200340EB"/>
    <w:rsid w:val="228B3D05"/>
    <w:rsid w:val="284E74F8"/>
    <w:rsid w:val="285223EF"/>
    <w:rsid w:val="2ADB48E8"/>
    <w:rsid w:val="352053D6"/>
    <w:rsid w:val="36687282"/>
    <w:rsid w:val="367793B2"/>
    <w:rsid w:val="3794FC37"/>
    <w:rsid w:val="38EF7AD8"/>
    <w:rsid w:val="3E1672E6"/>
    <w:rsid w:val="3EB9C2BB"/>
    <w:rsid w:val="3FEF6A07"/>
    <w:rsid w:val="3FFCD4B4"/>
    <w:rsid w:val="415F08D8"/>
    <w:rsid w:val="435D718F"/>
    <w:rsid w:val="44E2230F"/>
    <w:rsid w:val="48B51347"/>
    <w:rsid w:val="491B45FA"/>
    <w:rsid w:val="4A55216A"/>
    <w:rsid w:val="4E931CE9"/>
    <w:rsid w:val="4FE0696A"/>
    <w:rsid w:val="512B2937"/>
    <w:rsid w:val="538928BA"/>
    <w:rsid w:val="546F8569"/>
    <w:rsid w:val="55673508"/>
    <w:rsid w:val="59595A6F"/>
    <w:rsid w:val="597350B8"/>
    <w:rsid w:val="599330CA"/>
    <w:rsid w:val="5A7FCB1F"/>
    <w:rsid w:val="5E52BA77"/>
    <w:rsid w:val="5FEAF7C9"/>
    <w:rsid w:val="60D5009F"/>
    <w:rsid w:val="64AC2E11"/>
    <w:rsid w:val="660721C9"/>
    <w:rsid w:val="661E6C75"/>
    <w:rsid w:val="67F75FF5"/>
    <w:rsid w:val="681D4831"/>
    <w:rsid w:val="692E4B19"/>
    <w:rsid w:val="69513EF7"/>
    <w:rsid w:val="6BBB5183"/>
    <w:rsid w:val="6BF3256F"/>
    <w:rsid w:val="6CE7018A"/>
    <w:rsid w:val="6E3E3F2D"/>
    <w:rsid w:val="6FFBE559"/>
    <w:rsid w:val="715B2F02"/>
    <w:rsid w:val="76A548F2"/>
    <w:rsid w:val="7765772E"/>
    <w:rsid w:val="776F5E62"/>
    <w:rsid w:val="77867685"/>
    <w:rsid w:val="77EE7FE7"/>
    <w:rsid w:val="781F36B6"/>
    <w:rsid w:val="790627AD"/>
    <w:rsid w:val="79DFF8C4"/>
    <w:rsid w:val="7A5A02DD"/>
    <w:rsid w:val="7ADC59FA"/>
    <w:rsid w:val="7AFF2FC3"/>
    <w:rsid w:val="7B990B1B"/>
    <w:rsid w:val="7BF6B4C5"/>
    <w:rsid w:val="7DDD794F"/>
    <w:rsid w:val="7DFA6624"/>
    <w:rsid w:val="7DFD8AD7"/>
    <w:rsid w:val="7DFEFB95"/>
    <w:rsid w:val="7E4C242E"/>
    <w:rsid w:val="7EBDB5F7"/>
    <w:rsid w:val="7ECD6B9A"/>
    <w:rsid w:val="7FBA576D"/>
    <w:rsid w:val="7FDE47D5"/>
    <w:rsid w:val="7FFC7CB2"/>
    <w:rsid w:val="7FFD003D"/>
    <w:rsid w:val="94BFC172"/>
    <w:rsid w:val="9BFA614C"/>
    <w:rsid w:val="AAFDD6AA"/>
    <w:rsid w:val="BAFE1E17"/>
    <w:rsid w:val="BBDF5B5A"/>
    <w:rsid w:val="BBE428C2"/>
    <w:rsid w:val="BFBF52D7"/>
    <w:rsid w:val="D9C286DF"/>
    <w:rsid w:val="DB275D46"/>
    <w:rsid w:val="DF6E82F1"/>
    <w:rsid w:val="DFCEE0CE"/>
    <w:rsid w:val="DFEB7E72"/>
    <w:rsid w:val="DFFF7077"/>
    <w:rsid w:val="EEBF76D9"/>
    <w:rsid w:val="F36EF6AC"/>
    <w:rsid w:val="F6FDCC0E"/>
    <w:rsid w:val="F767D450"/>
    <w:rsid w:val="F76FB1DB"/>
    <w:rsid w:val="F7FBEBBF"/>
    <w:rsid w:val="F9F3FBF0"/>
    <w:rsid w:val="FA39D4FF"/>
    <w:rsid w:val="FB9F8FA2"/>
    <w:rsid w:val="FDB5389F"/>
    <w:rsid w:val="FDFF12BB"/>
    <w:rsid w:val="FEF7954B"/>
    <w:rsid w:val="FFAFB80B"/>
    <w:rsid w:val="FFDF4FA5"/>
    <w:rsid w:val="FFEF29F4"/>
    <w:rsid w:val="FFF9F8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8">
    <w:name w:val="页脚 Char"/>
    <w:basedOn w:val="7"/>
    <w:link w:val="3"/>
    <w:qFormat/>
    <w:uiPriority w:val="99"/>
    <w:rPr>
      <w:rFonts w:eastAsia="仿宋_GB2312"/>
      <w:kern w:val="2"/>
      <w:sz w:val="18"/>
      <w:szCs w:val="18"/>
    </w:rPr>
  </w:style>
  <w:style w:type="character" w:customStyle="1" w:styleId="9">
    <w:name w:val="页眉 Char"/>
    <w:basedOn w:val="7"/>
    <w:link w:val="4"/>
    <w:qFormat/>
    <w:uiPriority w:val="0"/>
    <w:rPr>
      <w:rFonts w:eastAsia="仿宋_GB2312"/>
      <w:kern w:val="2"/>
      <w:sz w:val="18"/>
      <w:szCs w:val="18"/>
    </w:rPr>
  </w:style>
  <w:style w:type="character" w:customStyle="1" w:styleId="10">
    <w:name w:val="批注框文本 Char"/>
    <w:basedOn w:val="7"/>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1491</Words>
  <Characters>1648</Characters>
  <Lines>3</Lines>
  <Paragraphs>1</Paragraphs>
  <TotalTime>0</TotalTime>
  <ScaleCrop>false</ScaleCrop>
  <LinksUpToDate>false</LinksUpToDate>
  <CharactersWithSpaces>1655</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2019-02-21T06:26:00Z</dcterms:created>
  <dc:creator>lhn</dc:creator>
  <cp:lastModifiedBy>uos</cp:lastModifiedBy>
  <cp:lastPrinted>2023-02-28T17:51:00Z</cp:lastPrinted>
  <dcterms:modified xsi:type="dcterms:W3CDTF">2026-03-26T10:39:44Z</dcterms:modified>
  <dc:title>财政支出绩效评价报告</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KSOTemplateDocerSaveRecord">
    <vt:lpwstr>eyJoZGlkIjoiZTAyZTc1ZWUzOWE0NWUwNDc0Y2I3YjZlMzRlYzZjNTIiLCJ1c2VySWQiOiIyMTI1OTY1MzkifQ==</vt:lpwstr>
  </property>
  <property fmtid="{D5CDD505-2E9C-101B-9397-08002B2CF9AE}" pid="4" name="ICV">
    <vt:lpwstr>4D676FA9F72E4A18A8795D228712B007_12</vt:lpwstr>
  </property>
</Properties>
</file>