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39C0E">
      <w:pPr>
        <w:keepNext w:val="0"/>
        <w:keepLines w:val="0"/>
        <w:pageBreakBefore w:val="0"/>
        <w:widowControl w:val="0"/>
        <w:kinsoku/>
        <w:wordWrap/>
        <w:overflowPunct/>
        <w:topLinePunct w:val="0"/>
        <w:autoSpaceDE/>
        <w:autoSpaceDN/>
        <w:bidi w:val="0"/>
        <w:adjustRightInd/>
        <w:snapToGrid w:val="0"/>
        <w:spacing w:line="580" w:lineRule="exact"/>
        <w:textAlignment w:val="auto"/>
        <w:rPr>
          <w:rFonts w:hint="eastAsia" w:ascii="黑体" w:hAnsi="黑体" w:eastAsia="黑体" w:cs="黑体"/>
          <w:bCs/>
          <w:sz w:val="32"/>
          <w:szCs w:val="32"/>
          <w:lang w:eastAsia="zh-CN"/>
        </w:rPr>
      </w:pPr>
      <w:r>
        <w:rPr>
          <w:rFonts w:hint="eastAsia" w:ascii="黑体" w:hAnsi="黑体" w:eastAsia="黑体" w:cs="黑体"/>
          <w:bCs/>
          <w:sz w:val="32"/>
          <w:szCs w:val="32"/>
        </w:rPr>
        <w:t>附件</w:t>
      </w:r>
      <w:r>
        <w:rPr>
          <w:rFonts w:hint="eastAsia" w:ascii="黑体" w:hAnsi="黑体" w:eastAsia="黑体" w:cs="黑体"/>
          <w:bCs/>
          <w:sz w:val="32"/>
          <w:szCs w:val="32"/>
          <w:lang w:val="en-US" w:eastAsia="zh-CN"/>
        </w:rPr>
        <w:t>4</w:t>
      </w:r>
    </w:p>
    <w:p w14:paraId="407D3793">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ascii="仿宋_GB2312" w:hAnsi="华文中宋"/>
          <w:bCs/>
          <w:sz w:val="36"/>
          <w:szCs w:val="44"/>
        </w:rPr>
      </w:pPr>
    </w:p>
    <w:p w14:paraId="1FC9F4D2">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hint="eastAsia" w:ascii="方正小标宋简体" w:hAnsi="方正小标宋简体" w:eastAsia="方正小标宋简体" w:cs="方正小标宋简体"/>
          <w:b w:val="0"/>
          <w:bCs/>
          <w:sz w:val="36"/>
          <w:szCs w:val="44"/>
        </w:rPr>
      </w:pPr>
      <w:r>
        <w:rPr>
          <w:rFonts w:hint="eastAsia" w:ascii="方正小标宋简体" w:hAnsi="方正小标宋简体" w:eastAsia="方正小标宋简体" w:cs="方正小标宋简体"/>
          <w:b w:val="0"/>
          <w:bCs/>
          <w:sz w:val="36"/>
          <w:szCs w:val="44"/>
          <w:lang w:val="en-US" w:eastAsia="zh-CN"/>
        </w:rPr>
        <w:t>海南</w:t>
      </w:r>
      <w:r>
        <w:rPr>
          <w:rFonts w:hint="eastAsia" w:ascii="方正小标宋简体" w:hAnsi="方正小标宋简体" w:eastAsia="方正小标宋简体" w:cs="方正小标宋简体"/>
          <w:b w:val="0"/>
          <w:bCs/>
          <w:sz w:val="36"/>
          <w:szCs w:val="44"/>
        </w:rPr>
        <w:t>省</w:t>
      </w:r>
      <w:r>
        <w:rPr>
          <w:rFonts w:hint="eastAsia" w:ascii="方正小标宋简体" w:hAnsi="方正小标宋简体" w:eastAsia="方正小标宋简体" w:cs="方正小标宋简体"/>
          <w:b w:val="0"/>
          <w:bCs/>
          <w:sz w:val="36"/>
          <w:szCs w:val="44"/>
          <w:lang w:val="en-US" w:eastAsia="zh-CN"/>
        </w:rPr>
        <w:t>促进经济高质量发展</w:t>
      </w:r>
      <w:r>
        <w:rPr>
          <w:rFonts w:hint="eastAsia" w:ascii="方正小标宋简体" w:hAnsi="方正小标宋简体" w:eastAsia="方正小标宋简体" w:cs="方正小标宋简体"/>
          <w:b w:val="0"/>
          <w:bCs/>
          <w:sz w:val="36"/>
          <w:szCs w:val="44"/>
        </w:rPr>
        <w:t>转移支付20</w:t>
      </w:r>
      <w:r>
        <w:rPr>
          <w:rFonts w:hint="eastAsia" w:ascii="方正小标宋简体" w:hAnsi="方正小标宋简体" w:eastAsia="方正小标宋简体" w:cs="方正小标宋简体"/>
          <w:b w:val="0"/>
          <w:bCs/>
          <w:sz w:val="36"/>
          <w:szCs w:val="44"/>
          <w:lang w:val="en-US" w:eastAsia="zh-CN"/>
        </w:rPr>
        <w:t>2</w:t>
      </w:r>
      <w:r>
        <w:rPr>
          <w:rFonts w:hint="default" w:ascii="方正小标宋简体" w:hAnsi="方正小标宋简体" w:eastAsia="方正小标宋简体" w:cs="方正小标宋简体"/>
          <w:b w:val="0"/>
          <w:bCs/>
          <w:sz w:val="36"/>
          <w:szCs w:val="44"/>
          <w:lang w:val="en" w:eastAsia="zh-CN"/>
        </w:rPr>
        <w:t>5</w:t>
      </w:r>
      <w:r>
        <w:rPr>
          <w:rFonts w:hint="eastAsia" w:ascii="方正小标宋简体" w:hAnsi="方正小标宋简体" w:eastAsia="方正小标宋简体" w:cs="方正小标宋简体"/>
          <w:b w:val="0"/>
          <w:bCs/>
          <w:sz w:val="36"/>
          <w:szCs w:val="44"/>
        </w:rPr>
        <w:t>年度绩效自评报告</w:t>
      </w:r>
    </w:p>
    <w:p w14:paraId="263DFE55">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ascii="黑体" w:hAnsi="黑体" w:eastAsia="黑体" w:cs="黑体"/>
          <w:bCs/>
          <w:szCs w:val="32"/>
        </w:rPr>
      </w:pPr>
      <w:r>
        <w:rPr>
          <w:rFonts w:hint="eastAsia" w:ascii="黑体" w:hAnsi="黑体" w:eastAsia="黑体" w:cs="黑体"/>
          <w:bCs/>
          <w:szCs w:val="32"/>
        </w:rPr>
        <w:t>一、绩效目标分解下达情况</w:t>
      </w:r>
    </w:p>
    <w:p w14:paraId="404EDA82">
      <w:pPr>
        <w:spacing w:line="5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2021年12月</w:t>
      </w:r>
      <w:r>
        <w:rPr>
          <w:rFonts w:hint="eastAsia" w:ascii="仿宋" w:hAnsi="仿宋" w:eastAsia="仿宋" w:cs="仿宋"/>
          <w:color w:val="000000"/>
          <w:sz w:val="32"/>
          <w:szCs w:val="32"/>
          <w:lang w:eastAsia="zh-CN"/>
        </w:rPr>
        <w:t>省政府办公厅印发</w:t>
      </w:r>
      <w:r>
        <w:rPr>
          <w:rFonts w:hint="eastAsia" w:ascii="仿宋" w:hAnsi="仿宋" w:eastAsia="仿宋" w:cs="仿宋"/>
          <w:color w:val="000000"/>
          <w:sz w:val="32"/>
          <w:szCs w:val="32"/>
        </w:rPr>
        <w:t>《海南省促进经济高质量发展若干财政措施》（</w:t>
      </w:r>
      <w:r>
        <w:rPr>
          <w:rFonts w:hint="eastAsia" w:ascii="仿宋" w:hAnsi="仿宋" w:eastAsia="仿宋" w:cs="仿宋"/>
          <w:color w:val="000000"/>
          <w:sz w:val="32"/>
          <w:szCs w:val="32"/>
          <w:lang w:eastAsia="zh-CN"/>
        </w:rPr>
        <w:t>琼府办</w:t>
      </w:r>
      <w:r>
        <w:rPr>
          <w:rFonts w:hint="eastAsia" w:ascii="仿宋" w:hAnsi="仿宋" w:eastAsia="仿宋" w:cs="仿宋"/>
          <w:color w:val="000000"/>
          <w:sz w:val="32"/>
          <w:szCs w:val="32"/>
        </w:rPr>
        <w:t>〔2021〕65号）</w:t>
      </w:r>
      <w:r>
        <w:rPr>
          <w:rFonts w:hint="eastAsia" w:ascii="仿宋" w:hAnsi="仿宋" w:eastAsia="仿宋" w:cs="仿宋"/>
          <w:color w:val="000000"/>
          <w:sz w:val="32"/>
          <w:szCs w:val="32"/>
          <w:lang w:eastAsia="zh-CN"/>
        </w:rPr>
        <w:t>，省财政厅印发制定财政措施实施细则分工方案，各行业主管部门与财政厅共同制定实施细则。</w:t>
      </w:r>
    </w:p>
    <w:p w14:paraId="0CCC0DB4">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outlineLvl w:val="0"/>
        <w:rPr>
          <w:rFonts w:hint="default" w:ascii="仿宋_GB2312" w:eastAsia="仿宋_GB2312"/>
          <w:szCs w:val="32"/>
          <w:lang w:val="en-US" w:eastAsia="zh-CN"/>
        </w:rPr>
      </w:pPr>
      <w:r>
        <w:rPr>
          <w:rFonts w:hint="eastAsia" w:ascii="仿宋_GB2312"/>
          <w:szCs w:val="32"/>
        </w:rPr>
        <w:t>为贯彻落实《海南省促进经济高质量发展若干财政措施》相关规定，省商务厅、省财政厅联合印发《关于激励餐饮业和零售业企业营业收入上规模财政措施的实施细则》（琼商消〔2022〕35号）《关于激励餐饮业和零售业企业营业收入上规模财政措施的实施细则补充说明》（琼商消规〔2023〕7号），规范资金使用和管理，提高资金使用效率，推动我省餐饮业和零售业高质量发展。省财政厅将海南省餐饮业和零售业发展激励资金列入年度预算，用于奖励营业收入上规模的餐饮业和零售业企业，对从2021年起（含2021年），营业收入首次突破1亿元、3亿元、5亿元、10亿元的实质性运营的餐饮业和零售业企业，分别对应给予50万元、80万元、100万元、150万元一次性奖励。</w:t>
      </w:r>
    </w:p>
    <w:p w14:paraId="03C65993">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ascii="黑体" w:hAnsi="黑体" w:eastAsia="黑体" w:cs="黑体"/>
          <w:bCs/>
          <w:szCs w:val="32"/>
          <w:highlight w:val="none"/>
        </w:rPr>
      </w:pPr>
      <w:r>
        <w:rPr>
          <w:rFonts w:hint="eastAsia" w:ascii="黑体" w:hAnsi="黑体" w:eastAsia="黑体" w:cs="黑体"/>
          <w:bCs/>
          <w:szCs w:val="32"/>
          <w:highlight w:val="none"/>
        </w:rPr>
        <w:t>二、</w:t>
      </w:r>
      <w:r>
        <w:rPr>
          <w:rFonts w:hint="eastAsia" w:ascii="黑体" w:hAnsi="黑体" w:eastAsia="黑体" w:cs="黑体"/>
          <w:bCs/>
          <w:szCs w:val="32"/>
          <w:highlight w:val="none"/>
          <w:lang w:eastAsia="zh-CN"/>
        </w:rPr>
        <w:t>绩效</w:t>
      </w:r>
      <w:r>
        <w:rPr>
          <w:rFonts w:hint="eastAsia" w:ascii="黑体" w:hAnsi="黑体" w:eastAsia="黑体" w:cs="黑体"/>
          <w:bCs/>
          <w:szCs w:val="32"/>
          <w:highlight w:val="none"/>
        </w:rPr>
        <w:t>情况分析</w:t>
      </w:r>
    </w:p>
    <w:p w14:paraId="6A93822A">
      <w:pPr>
        <w:keepNext w:val="0"/>
        <w:keepLines w:val="0"/>
        <w:pageBreakBefore w:val="0"/>
        <w:widowControl w:val="0"/>
        <w:kinsoku/>
        <w:wordWrap/>
        <w:overflowPunct/>
        <w:topLinePunct w:val="0"/>
        <w:autoSpaceDE/>
        <w:autoSpaceDN/>
        <w:bidi w:val="0"/>
        <w:adjustRightInd/>
        <w:snapToGrid w:val="0"/>
        <w:spacing w:line="580" w:lineRule="exact"/>
        <w:ind w:firstLine="602" w:firstLineChars="200"/>
        <w:textAlignment w:val="auto"/>
        <w:outlineLvl w:val="0"/>
        <w:rPr>
          <w:rFonts w:hint="eastAsia" w:ascii="仿宋_GB2312" w:hAnsi="仿宋_GB2312" w:eastAsia="仿宋_GB2312" w:cs="仿宋_GB2312"/>
          <w:b w:val="0"/>
          <w:bCs w:val="0"/>
          <w:szCs w:val="32"/>
          <w:highlight w:val="none"/>
          <w:lang w:eastAsia="zh-CN"/>
        </w:rPr>
      </w:pPr>
      <w:r>
        <w:rPr>
          <w:rFonts w:hint="eastAsia" w:ascii="楷体_GB2312" w:hAnsi="楷体_GB2312" w:eastAsia="楷体_GB2312" w:cs="楷体_GB2312"/>
          <w:b/>
          <w:bCs/>
          <w:szCs w:val="32"/>
          <w:highlight w:val="none"/>
        </w:rPr>
        <w:t>（一）资金投入情况分析。</w:t>
      </w:r>
    </w:p>
    <w:p w14:paraId="2DF38630">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outlineLvl w:val="0"/>
        <w:rPr>
          <w:rFonts w:hint="eastAsia" w:ascii="仿宋_GB2312"/>
          <w:szCs w:val="32"/>
          <w:lang w:val="en-US" w:eastAsia="zh-CN"/>
        </w:rPr>
      </w:pPr>
      <w:r>
        <w:rPr>
          <w:rFonts w:hint="eastAsia" w:ascii="仿宋_GB2312"/>
          <w:szCs w:val="32"/>
        </w:rPr>
        <w:t>我厅依据全省餐饮和零售企业发展情况，</w:t>
      </w:r>
      <w:r>
        <w:rPr>
          <w:rFonts w:hint="eastAsia" w:ascii="仿宋_GB2312"/>
          <w:szCs w:val="32"/>
          <w:lang w:val="en-US" w:eastAsia="zh-CN"/>
        </w:rPr>
        <w:t>基于该项目</w:t>
      </w:r>
      <w:r>
        <w:rPr>
          <w:rFonts w:hint="eastAsia" w:ascii="仿宋_GB2312"/>
          <w:szCs w:val="32"/>
        </w:rPr>
        <w:t>202</w:t>
      </w:r>
      <w:r>
        <w:rPr>
          <w:rFonts w:hint="eastAsia" w:ascii="仿宋_GB2312"/>
          <w:szCs w:val="32"/>
          <w:lang w:val="en-US" w:eastAsia="zh-CN"/>
        </w:rPr>
        <w:t>4</w:t>
      </w:r>
      <w:r>
        <w:rPr>
          <w:rFonts w:hint="eastAsia" w:ascii="仿宋_GB2312"/>
          <w:szCs w:val="32"/>
        </w:rPr>
        <w:t>年</w:t>
      </w:r>
      <w:r>
        <w:rPr>
          <w:rFonts w:hint="eastAsia" w:ascii="仿宋_GB2312"/>
          <w:szCs w:val="32"/>
          <w:lang w:val="en-US" w:eastAsia="zh-CN"/>
        </w:rPr>
        <w:t>实际拨付奖励资金1290</w:t>
      </w:r>
      <w:r>
        <w:rPr>
          <w:rFonts w:hint="eastAsia" w:ascii="仿宋_GB2312"/>
          <w:szCs w:val="32"/>
        </w:rPr>
        <w:t>万元</w:t>
      </w:r>
      <w:r>
        <w:rPr>
          <w:rFonts w:hint="eastAsia" w:ascii="仿宋_GB2312"/>
          <w:szCs w:val="32"/>
          <w:lang w:val="en-US" w:eastAsia="zh-CN"/>
        </w:rPr>
        <w:t>的情况下，安排年初预算1190万元，在充分调动市县商务主管部门深入企业做好政策宣贯服务，激励企业做好冲刺消费提档升级等工作，该项目最终审核结果共有26家企业符合条件，所需资金1810万元，年中从《文体旅商展联动扩大消费》项目调剂620万元，调剂完成后该项目年度预算为1810万元，并在2025年内完成拨付，实现预算执行率100%。</w:t>
      </w:r>
    </w:p>
    <w:p w14:paraId="2832E7CD">
      <w:pPr>
        <w:keepNext w:val="0"/>
        <w:keepLines w:val="0"/>
        <w:pageBreakBefore w:val="0"/>
        <w:widowControl w:val="0"/>
        <w:numPr>
          <w:ilvl w:val="0"/>
          <w:numId w:val="0"/>
        </w:numPr>
        <w:kinsoku/>
        <w:wordWrap/>
        <w:overflowPunct/>
        <w:topLinePunct w:val="0"/>
        <w:autoSpaceDE/>
        <w:autoSpaceDN/>
        <w:bidi w:val="0"/>
        <w:adjustRightInd/>
        <w:snapToGrid w:val="0"/>
        <w:spacing w:line="580" w:lineRule="exact"/>
        <w:ind w:firstLine="602" w:firstLineChars="200"/>
        <w:textAlignment w:val="auto"/>
        <w:outlineLvl w:val="0"/>
        <w:rPr>
          <w:rFonts w:hint="eastAsia" w:ascii="仿宋_GB2312" w:hAnsi="仿宋_GB2312" w:cs="仿宋_GB2312"/>
          <w:b w:val="0"/>
          <w:bCs w:val="0"/>
          <w:szCs w:val="32"/>
          <w:highlight w:val="none"/>
          <w:lang w:eastAsia="zh-CN"/>
        </w:rPr>
      </w:pPr>
      <w:r>
        <w:rPr>
          <w:rFonts w:hint="eastAsia" w:ascii="楷体_GB2312" w:hAnsi="楷体_GB2312" w:eastAsia="楷体_GB2312" w:cs="楷体_GB2312"/>
          <w:b/>
          <w:bCs/>
          <w:szCs w:val="32"/>
          <w:highlight w:val="none"/>
          <w:lang w:eastAsia="zh-CN"/>
        </w:rPr>
        <w:t>（</w:t>
      </w:r>
      <w:r>
        <w:rPr>
          <w:rFonts w:hint="eastAsia" w:ascii="楷体_GB2312" w:hAnsi="楷体_GB2312" w:eastAsia="楷体_GB2312" w:cs="楷体_GB2312"/>
          <w:b/>
          <w:bCs/>
          <w:szCs w:val="32"/>
          <w:highlight w:val="none"/>
          <w:lang w:val="en-US" w:eastAsia="zh-CN"/>
        </w:rPr>
        <w:t>二）</w:t>
      </w:r>
      <w:r>
        <w:rPr>
          <w:rFonts w:hint="eastAsia" w:ascii="楷体_GB2312" w:hAnsi="楷体_GB2312" w:eastAsia="楷体_GB2312" w:cs="楷体_GB2312"/>
          <w:b/>
          <w:bCs/>
          <w:szCs w:val="32"/>
          <w:highlight w:val="none"/>
          <w:lang w:eastAsia="zh-CN"/>
        </w:rPr>
        <w:t>资金管理情况分析。</w:t>
      </w:r>
    </w:p>
    <w:p w14:paraId="379BDB26">
      <w:pPr>
        <w:spacing w:line="560" w:lineRule="exact"/>
        <w:ind w:firstLine="640" w:firstLineChars="200"/>
        <w:rPr>
          <w:rFonts w:hint="eastAsia" w:ascii="楷体_GB2312" w:hAnsi="楷体_GB2312" w:eastAsia="楷体_GB2312" w:cs="楷体_GB2312"/>
          <w:b/>
          <w:bCs/>
          <w:szCs w:val="32"/>
          <w:lang w:eastAsia="zh-CN"/>
        </w:rPr>
      </w:pPr>
      <w:r>
        <w:rPr>
          <w:rFonts w:hint="eastAsia" w:ascii="仿宋" w:hAnsi="仿宋" w:eastAsia="仿宋" w:cs="仿宋"/>
          <w:color w:val="000000"/>
          <w:sz w:val="32"/>
          <w:szCs w:val="32"/>
        </w:rPr>
        <w:t>项目年度预算绩效目标</w:t>
      </w:r>
      <w:r>
        <w:rPr>
          <w:rFonts w:hint="eastAsia" w:ascii="仿宋" w:hAnsi="仿宋" w:eastAsia="仿宋" w:cs="仿宋"/>
          <w:color w:val="000000"/>
          <w:sz w:val="32"/>
          <w:szCs w:val="32"/>
          <w:lang w:eastAsia="zh-CN"/>
        </w:rPr>
        <w:t>主要从年度获得资金支持的企业个数≥</w:t>
      </w:r>
      <w:r>
        <w:rPr>
          <w:rFonts w:hint="eastAsia" w:ascii="仿宋" w:hAnsi="仿宋" w:eastAsia="仿宋" w:cs="仿宋"/>
          <w:color w:val="000000"/>
          <w:sz w:val="32"/>
          <w:szCs w:val="32"/>
          <w:lang w:val="en-US" w:eastAsia="zh-CN"/>
        </w:rPr>
        <w:t>10家</w:t>
      </w:r>
      <w:r>
        <w:rPr>
          <w:rFonts w:hint="eastAsia" w:ascii="仿宋" w:hAnsi="仿宋" w:eastAsia="仿宋" w:cs="仿宋"/>
          <w:color w:val="000000"/>
          <w:sz w:val="32"/>
          <w:szCs w:val="32"/>
          <w:lang w:eastAsia="zh-CN"/>
        </w:rPr>
        <w:t>、补贴对象资格符合率≥100</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lang w:eastAsia="zh-CN"/>
        </w:rPr>
        <w:t>、受支持企业满意度≥</w:t>
      </w:r>
      <w:r>
        <w:rPr>
          <w:rFonts w:hint="eastAsia" w:ascii="仿宋" w:hAnsi="仿宋" w:eastAsia="仿宋" w:cs="仿宋"/>
          <w:color w:val="000000"/>
          <w:sz w:val="32"/>
          <w:szCs w:val="32"/>
          <w:lang w:val="en-US" w:eastAsia="zh-CN"/>
        </w:rPr>
        <w:t>85%,</w:t>
      </w:r>
      <w:r>
        <w:rPr>
          <w:rFonts w:hint="eastAsia" w:ascii="仿宋" w:hAnsi="仿宋" w:eastAsia="仿宋" w:cs="仿宋"/>
          <w:color w:val="000000"/>
          <w:sz w:val="32"/>
          <w:szCs w:val="32"/>
          <w:lang w:eastAsia="zh-CN"/>
        </w:rPr>
        <w:t>有效促进餐饮业</w:t>
      </w:r>
      <w:r>
        <w:rPr>
          <w:rFonts w:hint="eastAsia" w:ascii="仿宋" w:hAnsi="仿宋" w:eastAsia="仿宋" w:cs="仿宋"/>
          <w:color w:val="000000"/>
          <w:sz w:val="32"/>
          <w:szCs w:val="32"/>
          <w:lang w:val="en-US" w:eastAsia="zh-CN"/>
        </w:rPr>
        <w:t>和</w:t>
      </w:r>
      <w:r>
        <w:rPr>
          <w:rFonts w:hint="eastAsia" w:ascii="仿宋" w:hAnsi="仿宋" w:eastAsia="仿宋" w:cs="仿宋"/>
          <w:color w:val="000000"/>
          <w:sz w:val="32"/>
          <w:szCs w:val="32"/>
          <w:lang w:eastAsia="zh-CN"/>
        </w:rPr>
        <w:t>零售业</w:t>
      </w:r>
      <w:r>
        <w:rPr>
          <w:rFonts w:hint="eastAsia" w:ascii="仿宋" w:hAnsi="仿宋" w:eastAsia="仿宋" w:cs="仿宋"/>
          <w:color w:val="000000"/>
          <w:sz w:val="32"/>
          <w:szCs w:val="32"/>
          <w:lang w:val="en-US" w:eastAsia="zh-CN"/>
        </w:rPr>
        <w:t>企业发展</w:t>
      </w:r>
      <w:r>
        <w:rPr>
          <w:rFonts w:hint="eastAsia" w:ascii="仿宋" w:hAnsi="仿宋" w:eastAsia="仿宋" w:cs="仿宋"/>
          <w:color w:val="000000"/>
          <w:sz w:val="32"/>
          <w:szCs w:val="32"/>
          <w:lang w:eastAsia="zh-CN"/>
        </w:rPr>
        <w:t>等方面来设定。</w:t>
      </w:r>
    </w:p>
    <w:p w14:paraId="7F9C66E9">
      <w:pPr>
        <w:keepNext w:val="0"/>
        <w:keepLines w:val="0"/>
        <w:pageBreakBefore w:val="0"/>
        <w:widowControl w:val="0"/>
        <w:numPr>
          <w:ilvl w:val="0"/>
          <w:numId w:val="0"/>
        </w:numPr>
        <w:kinsoku/>
        <w:wordWrap/>
        <w:overflowPunct/>
        <w:topLinePunct w:val="0"/>
        <w:autoSpaceDE/>
        <w:autoSpaceDN/>
        <w:bidi w:val="0"/>
        <w:adjustRightInd/>
        <w:snapToGrid w:val="0"/>
        <w:spacing w:line="580" w:lineRule="exact"/>
        <w:ind w:firstLine="602" w:firstLineChars="200"/>
        <w:textAlignment w:val="auto"/>
        <w:outlineLvl w:val="0"/>
        <w:rPr>
          <w:rFonts w:hint="eastAsia" w:ascii="仿宋_GB2312" w:hAnsi="仿宋_GB2312" w:eastAsia="仿宋_GB2312" w:cs="仿宋_GB2312"/>
          <w:b w:val="0"/>
          <w:bCs w:val="0"/>
          <w:szCs w:val="32"/>
          <w:lang w:eastAsia="zh-CN"/>
        </w:rPr>
      </w:pPr>
      <w:r>
        <w:rPr>
          <w:rFonts w:hint="eastAsia" w:ascii="楷体_GB2312" w:hAnsi="楷体_GB2312" w:eastAsia="楷体_GB2312" w:cs="楷体_GB2312"/>
          <w:b/>
          <w:bCs/>
          <w:szCs w:val="32"/>
          <w:lang w:eastAsia="zh-CN"/>
        </w:rPr>
        <w:t>（</w:t>
      </w:r>
      <w:r>
        <w:rPr>
          <w:rFonts w:hint="eastAsia" w:ascii="楷体_GB2312" w:hAnsi="楷体_GB2312" w:eastAsia="楷体_GB2312" w:cs="楷体_GB2312"/>
          <w:b/>
          <w:bCs/>
          <w:szCs w:val="32"/>
          <w:lang w:val="en-US" w:eastAsia="zh-CN"/>
        </w:rPr>
        <w:t>三）</w:t>
      </w:r>
      <w:r>
        <w:rPr>
          <w:rFonts w:hint="eastAsia" w:ascii="楷体_GB2312" w:hAnsi="楷体_GB2312" w:eastAsia="楷体_GB2312" w:cs="楷体_GB2312"/>
          <w:b/>
          <w:bCs/>
          <w:szCs w:val="32"/>
        </w:rPr>
        <w:t>总体绩效目标完成情况分析。</w:t>
      </w:r>
    </w:p>
    <w:p w14:paraId="06128664">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outlineLvl w:val="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依据</w:t>
      </w:r>
      <w:r>
        <w:rPr>
          <w:rFonts w:hint="eastAsia" w:ascii="仿宋" w:hAnsi="仿宋" w:eastAsia="仿宋" w:cs="仿宋"/>
          <w:color w:val="000000"/>
          <w:sz w:val="32"/>
          <w:szCs w:val="32"/>
        </w:rPr>
        <w:t>《关于激励餐饮业和零售业企业营业收入上规模财政措施的实施细则》（琼商消〔2022〕35号）《关于激励餐饮业和零售业企业营业收入上规模财政措施的实施细则补充说明》</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琼商消规〔2023〕7号</w:t>
      </w:r>
      <w:r>
        <w:rPr>
          <w:rFonts w:hint="eastAsia" w:ascii="仿宋" w:hAnsi="仿宋" w:eastAsia="仿宋" w:cs="仿宋"/>
          <w:color w:val="000000"/>
          <w:sz w:val="32"/>
          <w:szCs w:val="32"/>
          <w:lang w:val="en-US" w:eastAsia="zh-CN"/>
        </w:rPr>
        <w:t>），省商务厅印发《关于2025年申报餐饮业和零售业企业营业收入上规模奖励资金的通知》</w:t>
      </w:r>
      <w:r>
        <w:rPr>
          <w:rFonts w:hint="eastAsia" w:ascii="仿宋" w:hAnsi="仿宋" w:eastAsia="仿宋" w:cs="仿宋"/>
          <w:color w:val="000000"/>
          <w:sz w:val="32"/>
          <w:szCs w:val="32"/>
          <w:lang w:eastAsia="zh-CN"/>
        </w:rPr>
        <w:t>并开通海易兑线上平台申报通道，各市县积极组织符合条件的企业申报。各企业线上提交材料后，省商务厅委托会计师事务所，对企业提交的材料进行审核并出具审核报告。根据审核报告提出拟给予奖励的企业名单及金额，经公示无异议后提交厅务会研究讨论，依据厅务会审议意见提交相关材料拨付资金至各企业。</w:t>
      </w:r>
      <w:r>
        <w:rPr>
          <w:rFonts w:hint="eastAsia" w:ascii="仿宋" w:hAnsi="仿宋" w:eastAsia="仿宋" w:cs="仿宋"/>
          <w:color w:val="000000"/>
          <w:sz w:val="32"/>
          <w:szCs w:val="32"/>
          <w:lang w:val="en-US" w:eastAsia="zh-CN"/>
        </w:rPr>
        <w:t>经审核，根据企业2024年的营业收入数据符合奖励条件的企业有26家，奖励资金金额共1810万元。</w:t>
      </w:r>
    </w:p>
    <w:p w14:paraId="42FA7821">
      <w:pPr>
        <w:numPr>
          <w:ilvl w:val="0"/>
          <w:numId w:val="1"/>
        </w:numPr>
        <w:spacing w:line="560" w:lineRule="exact"/>
        <w:ind w:firstLine="602" w:firstLineChars="200"/>
        <w:rPr>
          <w:rFonts w:hint="eastAsia" w:ascii="楷体_GB2312" w:hAnsi="楷体_GB2312" w:eastAsia="楷体_GB2312" w:cs="楷体_GB2312"/>
          <w:b/>
          <w:bCs/>
          <w:szCs w:val="32"/>
        </w:rPr>
      </w:pPr>
      <w:r>
        <w:rPr>
          <w:rFonts w:hint="eastAsia" w:ascii="楷体_GB2312" w:hAnsi="楷体_GB2312" w:eastAsia="楷体_GB2312" w:cs="楷体_GB2312"/>
          <w:b/>
          <w:bCs/>
          <w:szCs w:val="32"/>
        </w:rPr>
        <w:t>绩效指标完成情况分析。</w:t>
      </w:r>
    </w:p>
    <w:p w14:paraId="04F4A972">
      <w:pPr>
        <w:spacing w:line="56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该项奖励资金共计支持企业26家已完成年度目标任务，</w:t>
      </w:r>
      <w:r>
        <w:rPr>
          <w:rFonts w:hint="eastAsia" w:ascii="仿宋" w:hAnsi="仿宋" w:eastAsia="仿宋" w:cs="仿宋"/>
          <w:color w:val="000000"/>
          <w:sz w:val="32"/>
          <w:szCs w:val="32"/>
          <w:lang w:eastAsia="zh-CN"/>
        </w:rPr>
        <w:t>补贴对象资格符合率≥100</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lang w:eastAsia="zh-CN"/>
        </w:rPr>
        <w:t>、受支持企业满意度≥</w:t>
      </w:r>
      <w:r>
        <w:rPr>
          <w:rFonts w:hint="eastAsia" w:ascii="仿宋" w:hAnsi="仿宋" w:eastAsia="仿宋" w:cs="仿宋"/>
          <w:color w:val="000000"/>
          <w:sz w:val="32"/>
          <w:szCs w:val="32"/>
          <w:lang w:val="en-US" w:eastAsia="zh-CN"/>
        </w:rPr>
        <w:t>85%,2025年社零总额2673.6亿元，同比增长5%，突破上规模奖励政策对我省餐饮业和</w:t>
      </w:r>
      <w:r>
        <w:rPr>
          <w:rFonts w:hint="eastAsia" w:ascii="仿宋" w:hAnsi="仿宋" w:eastAsia="仿宋" w:cs="仿宋"/>
          <w:color w:val="000000"/>
          <w:sz w:val="32"/>
          <w:szCs w:val="32"/>
          <w:lang w:eastAsia="zh-CN"/>
        </w:rPr>
        <w:t>零售业</w:t>
      </w:r>
      <w:r>
        <w:rPr>
          <w:rFonts w:hint="eastAsia" w:ascii="仿宋" w:hAnsi="仿宋" w:eastAsia="仿宋" w:cs="仿宋"/>
          <w:color w:val="000000"/>
          <w:sz w:val="32"/>
          <w:szCs w:val="32"/>
          <w:lang w:val="en-US" w:eastAsia="zh-CN"/>
        </w:rPr>
        <w:t>企业发展有着积极的激励作用</w:t>
      </w:r>
      <w:r>
        <w:rPr>
          <w:rFonts w:hint="eastAsia" w:ascii="仿宋" w:hAnsi="仿宋" w:eastAsia="仿宋" w:cs="仿宋"/>
          <w:color w:val="000000"/>
          <w:sz w:val="32"/>
          <w:szCs w:val="32"/>
          <w:lang w:eastAsia="zh-CN"/>
        </w:rPr>
        <w:t>。</w:t>
      </w:r>
    </w:p>
    <w:p w14:paraId="244BC349">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黑体" w:hAnsi="黑体" w:eastAsia="黑体" w:cs="黑体"/>
          <w:lang w:val="en"/>
        </w:rPr>
      </w:pPr>
      <w:r>
        <w:rPr>
          <w:rFonts w:hint="eastAsia" w:ascii="黑体" w:hAnsi="黑体" w:eastAsia="黑体" w:cs="黑体"/>
          <w:bCs/>
          <w:szCs w:val="32"/>
        </w:rPr>
        <w:t>三、</w:t>
      </w:r>
      <w:r>
        <w:rPr>
          <w:rFonts w:hint="eastAsia" w:ascii="黑体" w:hAnsi="黑体" w:eastAsia="黑体" w:cs="黑体"/>
          <w:lang w:val="en"/>
        </w:rPr>
        <w:t>附件</w:t>
      </w:r>
    </w:p>
    <w:p w14:paraId="2446DC9B">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黑体" w:hAnsi="黑体" w:eastAsia="黑体" w:cs="黑体"/>
          <w:lang w:val="en"/>
        </w:rPr>
      </w:pPr>
      <w:r>
        <w:rPr>
          <w:rFonts w:hint="eastAsia"/>
        </w:rPr>
        <w:t>转移支付区域（项目）绩效自评表</w:t>
      </w:r>
      <w:bookmarkStart w:id="0" w:name="_GoBack"/>
      <w:bookmarkEnd w:id="0"/>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DC3E4F-5EA9-472A-8990-F08CC5DA42D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8D7D5F9-4AA9-4763-9B90-15B532F0FF7C}"/>
  </w:font>
  <w:font w:name="华文中宋">
    <w:panose1 w:val="02010600040101010101"/>
    <w:charset w:val="86"/>
    <w:family w:val="auto"/>
    <w:pitch w:val="default"/>
    <w:sig w:usb0="00000287" w:usb1="080F0000" w:usb2="00000000" w:usb3="00000000" w:csb0="0004009F" w:csb1="DFD70000"/>
    <w:embedRegular r:id="rId3" w:fontKey="{E2B73212-A88F-430A-A5E4-D39846E2AF02}"/>
  </w:font>
  <w:font w:name="方正小标宋简体">
    <w:panose1 w:val="02000000000000000000"/>
    <w:charset w:val="86"/>
    <w:family w:val="auto"/>
    <w:pitch w:val="default"/>
    <w:sig w:usb0="00000001" w:usb1="080E0000" w:usb2="00000000" w:usb3="00000000" w:csb0="00040000" w:csb1="00000000"/>
    <w:embedRegular r:id="rId4" w:fontKey="{0B334AB9-28D1-44EC-942A-B0CDC7CB3D07}"/>
  </w:font>
  <w:font w:name="仿宋">
    <w:panose1 w:val="02010609060101010101"/>
    <w:charset w:val="86"/>
    <w:family w:val="modern"/>
    <w:pitch w:val="default"/>
    <w:sig w:usb0="800002BF" w:usb1="38CF7CFA" w:usb2="00000016" w:usb3="00000000" w:csb0="00040001" w:csb1="00000000"/>
    <w:embedRegular r:id="rId5" w:fontKey="{94137563-AF9C-4838-A6D7-3FD5DA30ED02}"/>
  </w:font>
  <w:font w:name="楷体_GB2312">
    <w:panose1 w:val="02010609030101010101"/>
    <w:charset w:val="86"/>
    <w:family w:val="modern"/>
    <w:pitch w:val="default"/>
    <w:sig w:usb0="00000001" w:usb1="080E0000" w:usb2="00000000" w:usb3="00000000" w:csb0="00040000" w:csb1="00000000"/>
    <w:embedRegular r:id="rId6" w:fontKey="{8693D8B6-A18B-4F8A-99F8-1142FEE1C5A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4AB149"/>
    <w:multiLevelType w:val="singleLevel"/>
    <w:tmpl w:val="184AB14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TrueTypeFonts/>
  <w:saveSubsetFonts/>
  <w:bordersDoNotSurroundHeader w:val="1"/>
  <w:bordersDoNotSurroundFooter w:val="1"/>
  <w:documentProtection w:edit="readOnly" w:enforcement="0"/>
  <w:defaultTabStop w:val="420"/>
  <w:drawingGridHorizontalSpacing w:val="150"/>
  <w:drawingGridVerticalSpacing w:val="5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82"/>
    <w:rsid w:val="000101E1"/>
    <w:rsid w:val="000732DA"/>
    <w:rsid w:val="00075CDC"/>
    <w:rsid w:val="000B1E8F"/>
    <w:rsid w:val="000B6964"/>
    <w:rsid w:val="00103D16"/>
    <w:rsid w:val="00111638"/>
    <w:rsid w:val="00111928"/>
    <w:rsid w:val="0012041C"/>
    <w:rsid w:val="00164D84"/>
    <w:rsid w:val="00173016"/>
    <w:rsid w:val="0017509C"/>
    <w:rsid w:val="001808CA"/>
    <w:rsid w:val="001A4E46"/>
    <w:rsid w:val="001E03FE"/>
    <w:rsid w:val="002123E8"/>
    <w:rsid w:val="00250053"/>
    <w:rsid w:val="0029569C"/>
    <w:rsid w:val="002A5FA7"/>
    <w:rsid w:val="002B3EEF"/>
    <w:rsid w:val="002B54E4"/>
    <w:rsid w:val="002E5562"/>
    <w:rsid w:val="002F6705"/>
    <w:rsid w:val="00301FC0"/>
    <w:rsid w:val="00336A16"/>
    <w:rsid w:val="003663A3"/>
    <w:rsid w:val="00387DD5"/>
    <w:rsid w:val="003B0980"/>
    <w:rsid w:val="003C6374"/>
    <w:rsid w:val="003D2CB9"/>
    <w:rsid w:val="00413F12"/>
    <w:rsid w:val="00493012"/>
    <w:rsid w:val="004D2137"/>
    <w:rsid w:val="005D1514"/>
    <w:rsid w:val="005D7CC3"/>
    <w:rsid w:val="006218A1"/>
    <w:rsid w:val="00682A10"/>
    <w:rsid w:val="006A30E4"/>
    <w:rsid w:val="006A74BF"/>
    <w:rsid w:val="006C1CEE"/>
    <w:rsid w:val="006D5A86"/>
    <w:rsid w:val="00707C2E"/>
    <w:rsid w:val="00722A7D"/>
    <w:rsid w:val="00724A6B"/>
    <w:rsid w:val="0073331B"/>
    <w:rsid w:val="00733C2D"/>
    <w:rsid w:val="00756C7F"/>
    <w:rsid w:val="007D7E6E"/>
    <w:rsid w:val="00850797"/>
    <w:rsid w:val="00853FC4"/>
    <w:rsid w:val="008720F1"/>
    <w:rsid w:val="00882EFA"/>
    <w:rsid w:val="008B2F56"/>
    <w:rsid w:val="008F0996"/>
    <w:rsid w:val="00903791"/>
    <w:rsid w:val="009600BD"/>
    <w:rsid w:val="00961C83"/>
    <w:rsid w:val="009922BC"/>
    <w:rsid w:val="009E0D8C"/>
    <w:rsid w:val="00A02AF3"/>
    <w:rsid w:val="00A25077"/>
    <w:rsid w:val="00A610CC"/>
    <w:rsid w:val="00A8737E"/>
    <w:rsid w:val="00AA19AF"/>
    <w:rsid w:val="00BC6882"/>
    <w:rsid w:val="00BD3FE0"/>
    <w:rsid w:val="00BE58CF"/>
    <w:rsid w:val="00CA5578"/>
    <w:rsid w:val="00CA7DAA"/>
    <w:rsid w:val="00D04826"/>
    <w:rsid w:val="00D63908"/>
    <w:rsid w:val="00D8718A"/>
    <w:rsid w:val="00D93453"/>
    <w:rsid w:val="00DC524D"/>
    <w:rsid w:val="00E071D6"/>
    <w:rsid w:val="00ED3E0F"/>
    <w:rsid w:val="00F015E4"/>
    <w:rsid w:val="00F57F82"/>
    <w:rsid w:val="00F75224"/>
    <w:rsid w:val="00F91EAE"/>
    <w:rsid w:val="00FA086C"/>
    <w:rsid w:val="00FA2093"/>
    <w:rsid w:val="00FA357A"/>
    <w:rsid w:val="037D0BC8"/>
    <w:rsid w:val="0845082D"/>
    <w:rsid w:val="09E965F2"/>
    <w:rsid w:val="0B9A2BAF"/>
    <w:rsid w:val="0FF7AA4F"/>
    <w:rsid w:val="122626FE"/>
    <w:rsid w:val="139840D3"/>
    <w:rsid w:val="143E091F"/>
    <w:rsid w:val="14865FC8"/>
    <w:rsid w:val="150C2DB0"/>
    <w:rsid w:val="19B4383D"/>
    <w:rsid w:val="1A7D29EA"/>
    <w:rsid w:val="1D994BCF"/>
    <w:rsid w:val="1E015005"/>
    <w:rsid w:val="1E761F05"/>
    <w:rsid w:val="1F7BE1E6"/>
    <w:rsid w:val="1FC7205C"/>
    <w:rsid w:val="20BC3DE4"/>
    <w:rsid w:val="228B3D05"/>
    <w:rsid w:val="284E74F8"/>
    <w:rsid w:val="2ADB48E8"/>
    <w:rsid w:val="36687282"/>
    <w:rsid w:val="367793B2"/>
    <w:rsid w:val="3794FC37"/>
    <w:rsid w:val="38EF7AD8"/>
    <w:rsid w:val="3E1672E6"/>
    <w:rsid w:val="3EB9C2BB"/>
    <w:rsid w:val="3FEF6A07"/>
    <w:rsid w:val="3FFCD4B4"/>
    <w:rsid w:val="415F08D8"/>
    <w:rsid w:val="44E2230F"/>
    <w:rsid w:val="48B51347"/>
    <w:rsid w:val="491B45FA"/>
    <w:rsid w:val="4A55216A"/>
    <w:rsid w:val="4E2A6D2C"/>
    <w:rsid w:val="4FE0696A"/>
    <w:rsid w:val="546F8569"/>
    <w:rsid w:val="55673508"/>
    <w:rsid w:val="59595A6F"/>
    <w:rsid w:val="597350B8"/>
    <w:rsid w:val="599330CA"/>
    <w:rsid w:val="5A7FCB1F"/>
    <w:rsid w:val="5E52BA77"/>
    <w:rsid w:val="5FEAF7C9"/>
    <w:rsid w:val="60D5009F"/>
    <w:rsid w:val="64AC2E11"/>
    <w:rsid w:val="660721C9"/>
    <w:rsid w:val="661E6C75"/>
    <w:rsid w:val="67F75FF5"/>
    <w:rsid w:val="681D4831"/>
    <w:rsid w:val="692E4B19"/>
    <w:rsid w:val="69513EF7"/>
    <w:rsid w:val="6A061C38"/>
    <w:rsid w:val="6BF3256F"/>
    <w:rsid w:val="6CE7018A"/>
    <w:rsid w:val="6E3E3F2D"/>
    <w:rsid w:val="715B2F02"/>
    <w:rsid w:val="76555D0F"/>
    <w:rsid w:val="76A548F2"/>
    <w:rsid w:val="7765772E"/>
    <w:rsid w:val="776F5E62"/>
    <w:rsid w:val="77867685"/>
    <w:rsid w:val="77EE7FE7"/>
    <w:rsid w:val="781F36B6"/>
    <w:rsid w:val="790627AD"/>
    <w:rsid w:val="79DFF8C4"/>
    <w:rsid w:val="7ADC59FA"/>
    <w:rsid w:val="7AFF2FC3"/>
    <w:rsid w:val="7BF6B4C5"/>
    <w:rsid w:val="7DDD794F"/>
    <w:rsid w:val="7DFA6624"/>
    <w:rsid w:val="7DFD8AD7"/>
    <w:rsid w:val="7DFEFB95"/>
    <w:rsid w:val="7ECD6B9A"/>
    <w:rsid w:val="7FBA576D"/>
    <w:rsid w:val="7FDE47D5"/>
    <w:rsid w:val="7FFC7CB2"/>
    <w:rsid w:val="7FFD003D"/>
    <w:rsid w:val="94BFC172"/>
    <w:rsid w:val="9BFA614C"/>
    <w:rsid w:val="AAFDD6AA"/>
    <w:rsid w:val="BAFE1E17"/>
    <w:rsid w:val="BBDF5B5A"/>
    <w:rsid w:val="BBE428C2"/>
    <w:rsid w:val="BFBF52D7"/>
    <w:rsid w:val="D9C286DF"/>
    <w:rsid w:val="DB275D46"/>
    <w:rsid w:val="DF6E82F1"/>
    <w:rsid w:val="DFCEE0CE"/>
    <w:rsid w:val="DFFF7077"/>
    <w:rsid w:val="EEBF76D9"/>
    <w:rsid w:val="F36EF6AC"/>
    <w:rsid w:val="F6FDCC0E"/>
    <w:rsid w:val="F767D450"/>
    <w:rsid w:val="F76FB1DB"/>
    <w:rsid w:val="F7FBEBBF"/>
    <w:rsid w:val="F9F3FBF0"/>
    <w:rsid w:val="FA39D4FF"/>
    <w:rsid w:val="FB9F8FA2"/>
    <w:rsid w:val="FDB5389F"/>
    <w:rsid w:val="FDFF12BB"/>
    <w:rsid w:val="FEF7954B"/>
    <w:rsid w:val="FFAFB80B"/>
    <w:rsid w:val="FFDF4FA5"/>
    <w:rsid w:val="FFEF29F4"/>
    <w:rsid w:val="FFF9F8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7"/>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99"/>
    <w:rPr>
      <w:rFonts w:eastAsia="仿宋_GB2312"/>
      <w:kern w:val="2"/>
      <w:sz w:val="18"/>
      <w:szCs w:val="18"/>
    </w:rPr>
  </w:style>
  <w:style w:type="character" w:customStyle="1" w:styleId="8">
    <w:name w:val="页眉 Char"/>
    <w:basedOn w:val="6"/>
    <w:link w:val="4"/>
    <w:qFormat/>
    <w:uiPriority w:val="0"/>
    <w:rPr>
      <w:rFonts w:eastAsia="仿宋_GB2312"/>
      <w:kern w:val="2"/>
      <w:sz w:val="18"/>
      <w:szCs w:val="18"/>
    </w:rPr>
  </w:style>
  <w:style w:type="character" w:customStyle="1" w:styleId="9">
    <w:name w:val="批注框文本 Char"/>
    <w:basedOn w:val="6"/>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1178</Words>
  <Characters>1272</Characters>
  <Lines>3</Lines>
  <Paragraphs>1</Paragraphs>
  <TotalTime>64</TotalTime>
  <ScaleCrop>false</ScaleCrop>
  <LinksUpToDate>false</LinksUpToDate>
  <CharactersWithSpaces>1272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2019-02-20T06:26:00Z</dcterms:created>
  <dc:creator>lhn</dc:creator>
  <cp:lastModifiedBy>L</cp:lastModifiedBy>
  <cp:lastPrinted>2023-02-27T17:51:00Z</cp:lastPrinted>
  <dcterms:modified xsi:type="dcterms:W3CDTF">2026-03-13T07:52:12Z</dcterms:modified>
  <dc:title>财政支出绩效评价报告</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eyJoZGlkIjoiNDJiZmJhYTk5YWY5NTFhZWJjY2YxMGEyYjA2NTM2YmQiLCJ1c2VySWQiOiIyMzUyOTA4OTgifQ==</vt:lpwstr>
  </property>
  <property fmtid="{D5CDD505-2E9C-101B-9397-08002B2CF9AE}" pid="4" name="ICV">
    <vt:lpwstr>D5CFC5AC9B464CE7AE81836339A3B316_12</vt:lpwstr>
  </property>
</Properties>
</file>