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ascii="仿宋_GB2312" w:hAnsi="华文中宋"/>
          <w:bCs/>
          <w:sz w:val="36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44"/>
          <w:lang w:val="en-US" w:eastAsia="zh-CN"/>
        </w:rPr>
        <w:t>促消费专项资金（餐饮消费券）转移支付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44"/>
          <w:lang w:val="en-US" w:eastAsia="zh-CN"/>
        </w:rPr>
        <w:t>202</w:t>
      </w:r>
      <w:r>
        <w:rPr>
          <w:rFonts w:hint="default" w:ascii="方正小标宋简体" w:hAnsi="方正小标宋简体" w:eastAsia="方正小标宋简体" w:cs="方正小标宋简体"/>
          <w:b w:val="0"/>
          <w:bCs/>
          <w:sz w:val="36"/>
          <w:szCs w:val="44"/>
          <w:lang w:val="en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44"/>
          <w:lang w:val="en-US" w:eastAsia="zh-CN"/>
        </w:rPr>
        <w:t>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00" w:firstLineChars="200"/>
        <w:textAlignment w:val="auto"/>
        <w:rPr>
          <w:rFonts w:hint="eastAsia" w:ascii="黑体" w:hAnsi="黑体" w:eastAsia="黑体" w:cs="黑体"/>
          <w:bCs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00" w:firstLineChars="200"/>
        <w:textAlignment w:val="auto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为落实中央经济工作会议要求，提振消费，增强消费信心，释放消费潜力。我厅统筹安排960万元促消费专项资金，2025年3月通过云闪付平台统筹发放720万元餐饮消费券，2025年7月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配合省旅文厅开展“清凉一夏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海南度假”夏季旅游市场引流促消费</w:t>
      </w:r>
      <w:r>
        <w:rPr>
          <w:rFonts w:hint="eastAsia" w:ascii="仿宋_GB2312" w:hAnsi="仿宋_GB2312" w:eastAsia="仿宋_GB2312" w:cs="仿宋_GB2312"/>
          <w:sz w:val="32"/>
          <w:szCs w:val="32"/>
        </w:rPr>
        <w:t>补贴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安排240万元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消费返现补贴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资金，多渠道推动海南餐饮业高质量发展，同时鼓励商业主体投入资金叠加发券，通过叠加效应全力激发消费热情，进一步释放消费潜力。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00" w:firstLineChars="200"/>
        <w:textAlignment w:val="auto"/>
        <w:rPr>
          <w:rFonts w:ascii="黑体" w:hAnsi="黑体" w:eastAsia="黑体" w:cs="黑体"/>
          <w:bCs/>
          <w:szCs w:val="32"/>
          <w:highlight w:val="none"/>
        </w:rPr>
      </w:pPr>
      <w:r>
        <w:rPr>
          <w:rFonts w:hint="eastAsia" w:ascii="黑体" w:hAnsi="黑体" w:eastAsia="黑体" w:cs="黑体"/>
          <w:bCs/>
          <w:szCs w:val="32"/>
          <w:highlight w:val="none"/>
        </w:rPr>
        <w:t>二、</w:t>
      </w:r>
      <w:r>
        <w:rPr>
          <w:rFonts w:hint="eastAsia" w:ascii="黑体" w:hAnsi="黑体" w:eastAsia="黑体" w:cs="黑体"/>
          <w:bCs/>
          <w:szCs w:val="32"/>
          <w:highlight w:val="none"/>
          <w:lang w:eastAsia="zh-CN"/>
        </w:rPr>
        <w:t>绩效</w:t>
      </w:r>
      <w:r>
        <w:rPr>
          <w:rFonts w:hint="eastAsia" w:ascii="黑体" w:hAnsi="黑体" w:eastAsia="黑体" w:cs="黑体"/>
          <w:bCs/>
          <w:szCs w:val="32"/>
          <w:highlight w:val="none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02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Cs w:val="32"/>
          <w:highlight w:val="none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3月至5月期间发放省级餐饮消费券资金720万元，银联同步配套“购在海南”消费券资金119万元，合计839万元资金，核销426.18万元，带动3169.84万元消费，拉动系数7.44。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其中：省级餐饮消费券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累计核销2.65万笔，核销资金364.42万元，核销率50.61%，带动2291万元消费，拉动系数6.29，共有2.05万名消费者参与活动；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银联配套消费券资金119万元，覆盖餐饮、加油、超市、百货、便利店领域，累计核销4.08万笔、核销资金61.76万元，核销率51.9%，带动878.44万元，拉动系数14.22。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根据省政府工作部署，我厅配合省旅文厅开展“清凉一夏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海南度假”夏季旅游市场引流促消费补贴活动，于7月至9月依托“酷游海南+海易办”平台开展消费返现补贴，海易办（数字海南有限公司）负责提供项目平台及补贴申请入口，并完成补贴资金代发服务。为保障资金安全、提高使用效率，经与省旅文厅协商，补贴资金拟按照32.5%、32.5%、35%的比例，分三批向海易办拨付补贴资金。2025年7月至9月期间，我厅根据补贴进度累计拨付156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02" w:firstLineChars="200"/>
        <w:textAlignment w:val="auto"/>
        <w:outlineLvl w:val="0"/>
        <w:rPr>
          <w:rFonts w:hint="eastAsia" w:ascii="仿宋_GB2312" w:hAnsi="仿宋_GB2312" w:cs="仿宋_GB2312"/>
          <w:b w:val="0"/>
          <w:bCs w:val="0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Cs w:val="32"/>
          <w:highlight w:val="none"/>
          <w:lang w:val="en-US" w:eastAsia="zh-CN"/>
        </w:rPr>
        <w:t>二）</w:t>
      </w:r>
      <w:r>
        <w:rPr>
          <w:rFonts w:hint="eastAsia" w:ascii="楷体_GB2312" w:hAnsi="楷体_GB2312" w:eastAsia="楷体_GB2312" w:cs="楷体_GB2312"/>
          <w:b/>
          <w:bCs/>
          <w:szCs w:val="32"/>
          <w:highlight w:val="none"/>
          <w:lang w:eastAsia="zh-CN"/>
        </w:rPr>
        <w:t>资金管理情况分析。</w:t>
      </w:r>
    </w:p>
    <w:p>
      <w:pPr>
        <w:spacing w:line="560" w:lineRule="exact"/>
        <w:ind w:firstLine="640" w:firstLineChars="200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项目年度预算绩效目标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主要从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消费券核销率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80%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、消费券资金发放及时性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,社会消费品零售总额同比增幅≥5%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等方面来设定。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02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Cs w:val="32"/>
          <w:highlight w:val="none"/>
          <w:lang w:val="en-US" w:eastAsia="zh-CN"/>
        </w:rPr>
        <w:t>（三）总体绩</w:t>
      </w:r>
      <w:r>
        <w:rPr>
          <w:rFonts w:hint="eastAsia" w:ascii="楷体_GB2312" w:hAnsi="楷体_GB2312" w:eastAsia="楷体_GB2312" w:cs="楷体_GB2312"/>
          <w:b/>
          <w:bCs/>
          <w:szCs w:val="32"/>
          <w:highlight w:val="none"/>
          <w:lang w:eastAsia="zh-CN"/>
        </w:rPr>
        <w:t>效目</w:t>
      </w:r>
      <w:r>
        <w:rPr>
          <w:rFonts w:hint="eastAsia" w:ascii="楷体_GB2312" w:hAnsi="楷体_GB2312" w:eastAsia="楷体_GB2312" w:cs="楷体_GB2312"/>
          <w:b/>
          <w:bCs/>
          <w:szCs w:val="32"/>
          <w:lang w:eastAsia="zh-CN"/>
        </w:rPr>
        <w:t>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发放省级餐饮消费券资金720万元，撬动商业企业配套资金119万元，政企</w:t>
      </w:r>
      <w:r>
        <w:rPr>
          <w:rFonts w:hint="eastAsia" w:ascii="仿宋_GB2312" w:hAnsi="仿宋_GB2312" w:eastAsia="仿宋_GB2312" w:cs="仿宋_GB2312"/>
          <w:sz w:val="32"/>
          <w:szCs w:val="32"/>
        </w:rPr>
        <w:t>共发放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839万元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消费券资金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b w:val="0"/>
          <w:bCs w:val="0"/>
          <w:szCs w:val="32"/>
          <w:lang w:val="en-US" w:eastAsia="zh-CN"/>
        </w:rPr>
        <w:t>实现资金核销率51%，带动消费券使用购物额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3169.84万元</w:t>
      </w:r>
      <w:r>
        <w:rPr>
          <w:rFonts w:hint="eastAsia" w:ascii="仿宋_GB2312" w:hAnsi="仿宋_GB2312" w:cs="仿宋_GB2312"/>
          <w:b w:val="0"/>
          <w:bCs w:val="0"/>
          <w:szCs w:val="32"/>
          <w:lang w:val="en-US" w:eastAsia="zh-CN"/>
        </w:rPr>
        <w:t>以上，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拉动系数7.44。其中核销率未能达到80%，主要是餐饮市场团购活动平台较多，消费者选择性丰富，导致核销率较低。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“清凉一夏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海南度假”夏季旅游市场引流促消费补贴资金支付完成率65%，主要申请返现补贴人员较少，活动时间较短，活动宣传效果不佳。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2025年结合多项促消费活动，最终实现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2025年社会消费品零售总额同比增长超5%，已达到目标</w:t>
      </w:r>
      <w:r>
        <w:rPr>
          <w:rFonts w:hint="eastAsia" w:ascii="仿宋_GB2312" w:hAnsi="仿宋_GB2312" w:cs="仿宋_GB2312"/>
          <w:b w:val="0"/>
          <w:bCs w:val="0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00" w:firstLineChars="200"/>
        <w:textAlignment w:val="auto"/>
        <w:rPr>
          <w:rFonts w:hint="eastAsia" w:ascii="黑体" w:hAnsi="黑体" w:eastAsia="黑体" w:cs="黑体"/>
          <w:lang w:val="en"/>
        </w:rPr>
      </w:pPr>
      <w:r>
        <w:rPr>
          <w:rFonts w:hint="eastAsia" w:ascii="黑体" w:hAnsi="黑体" w:eastAsia="黑体" w:cs="黑体"/>
          <w:bCs/>
          <w:szCs w:val="32"/>
        </w:rPr>
        <w:t>三、</w:t>
      </w:r>
      <w:r>
        <w:rPr>
          <w:rFonts w:hint="eastAsia" w:ascii="黑体" w:hAnsi="黑体" w:eastAsia="黑体" w:cs="黑体"/>
          <w:lang w:val="e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00" w:firstLineChars="200"/>
        <w:textAlignment w:val="auto"/>
        <w:rPr>
          <w:rFonts w:hint="eastAsia" w:ascii="黑体" w:hAnsi="黑体" w:eastAsia="黑体" w:cs="黑体"/>
          <w:lang w:val="en"/>
        </w:rPr>
      </w:pPr>
      <w:r>
        <w:rPr>
          <w:rFonts w:hint="eastAsia"/>
        </w:rPr>
        <w:t>转移支付区域（项目）绩效自评表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TrueTypeFonts/>
  <w:saveSubsetFonts/>
  <w:bordersDoNotSurroundHeader w:val="true"/>
  <w:bordersDoNotSurroundFooter w:val="true"/>
  <w:documentProtection w:edit="readOnly"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82"/>
    <w:rsid w:val="000101E1"/>
    <w:rsid w:val="000732DA"/>
    <w:rsid w:val="00075CDC"/>
    <w:rsid w:val="000B1E8F"/>
    <w:rsid w:val="000B6964"/>
    <w:rsid w:val="00103D16"/>
    <w:rsid w:val="00111638"/>
    <w:rsid w:val="00111928"/>
    <w:rsid w:val="0012041C"/>
    <w:rsid w:val="00164D84"/>
    <w:rsid w:val="00173016"/>
    <w:rsid w:val="0017509C"/>
    <w:rsid w:val="001808CA"/>
    <w:rsid w:val="001A4E46"/>
    <w:rsid w:val="001E03FE"/>
    <w:rsid w:val="002123E8"/>
    <w:rsid w:val="00250053"/>
    <w:rsid w:val="0029569C"/>
    <w:rsid w:val="002A5FA7"/>
    <w:rsid w:val="002B3EEF"/>
    <w:rsid w:val="002B54E4"/>
    <w:rsid w:val="002E5562"/>
    <w:rsid w:val="002F6705"/>
    <w:rsid w:val="00301FC0"/>
    <w:rsid w:val="00336A16"/>
    <w:rsid w:val="003663A3"/>
    <w:rsid w:val="00387DD5"/>
    <w:rsid w:val="003B0980"/>
    <w:rsid w:val="003C6374"/>
    <w:rsid w:val="003D2CB9"/>
    <w:rsid w:val="00413F12"/>
    <w:rsid w:val="00493012"/>
    <w:rsid w:val="004D2137"/>
    <w:rsid w:val="005D1514"/>
    <w:rsid w:val="005D7CC3"/>
    <w:rsid w:val="006218A1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D7E6E"/>
    <w:rsid w:val="00850797"/>
    <w:rsid w:val="00853FC4"/>
    <w:rsid w:val="008720F1"/>
    <w:rsid w:val="00882EFA"/>
    <w:rsid w:val="008B2F56"/>
    <w:rsid w:val="008F0996"/>
    <w:rsid w:val="00903791"/>
    <w:rsid w:val="009600BD"/>
    <w:rsid w:val="00961C83"/>
    <w:rsid w:val="009922BC"/>
    <w:rsid w:val="009E0D8C"/>
    <w:rsid w:val="00A02AF3"/>
    <w:rsid w:val="00A25077"/>
    <w:rsid w:val="00A610CC"/>
    <w:rsid w:val="00A8737E"/>
    <w:rsid w:val="00AA19AF"/>
    <w:rsid w:val="00BC6882"/>
    <w:rsid w:val="00BD3FE0"/>
    <w:rsid w:val="00BE58CF"/>
    <w:rsid w:val="00CA5578"/>
    <w:rsid w:val="00CA7DAA"/>
    <w:rsid w:val="00D04826"/>
    <w:rsid w:val="00D63908"/>
    <w:rsid w:val="00D8718A"/>
    <w:rsid w:val="00D93453"/>
    <w:rsid w:val="00DC524D"/>
    <w:rsid w:val="00E071D6"/>
    <w:rsid w:val="00ED3E0F"/>
    <w:rsid w:val="00F015E4"/>
    <w:rsid w:val="00F57F82"/>
    <w:rsid w:val="00F75224"/>
    <w:rsid w:val="00F91EAE"/>
    <w:rsid w:val="00FA086C"/>
    <w:rsid w:val="00FA2093"/>
    <w:rsid w:val="00FA357A"/>
    <w:rsid w:val="037D0BC8"/>
    <w:rsid w:val="0845082D"/>
    <w:rsid w:val="09E965F2"/>
    <w:rsid w:val="0FF7AA4F"/>
    <w:rsid w:val="139840D3"/>
    <w:rsid w:val="143E091F"/>
    <w:rsid w:val="14865FC8"/>
    <w:rsid w:val="14B4083D"/>
    <w:rsid w:val="150C2DB0"/>
    <w:rsid w:val="1A7D29EA"/>
    <w:rsid w:val="1D994BCF"/>
    <w:rsid w:val="1E761F05"/>
    <w:rsid w:val="1F7BE1E6"/>
    <w:rsid w:val="1F9C4840"/>
    <w:rsid w:val="1FC7205C"/>
    <w:rsid w:val="228B3D05"/>
    <w:rsid w:val="23121123"/>
    <w:rsid w:val="284E74F8"/>
    <w:rsid w:val="2ADB48E8"/>
    <w:rsid w:val="2D76641C"/>
    <w:rsid w:val="2F324D29"/>
    <w:rsid w:val="36687282"/>
    <w:rsid w:val="367793B2"/>
    <w:rsid w:val="3794FC37"/>
    <w:rsid w:val="38EF7AD8"/>
    <w:rsid w:val="3E1672E6"/>
    <w:rsid w:val="3EB9C2BB"/>
    <w:rsid w:val="3FD124CF"/>
    <w:rsid w:val="3FEF6A07"/>
    <w:rsid w:val="3FFCD4B4"/>
    <w:rsid w:val="415F08D8"/>
    <w:rsid w:val="423563AB"/>
    <w:rsid w:val="44E2230F"/>
    <w:rsid w:val="48B51347"/>
    <w:rsid w:val="491B45FA"/>
    <w:rsid w:val="4A55216A"/>
    <w:rsid w:val="4F0E4A13"/>
    <w:rsid w:val="4FE0696A"/>
    <w:rsid w:val="51937451"/>
    <w:rsid w:val="546F8569"/>
    <w:rsid w:val="55673508"/>
    <w:rsid w:val="572D17AE"/>
    <w:rsid w:val="59441031"/>
    <w:rsid w:val="59595A6F"/>
    <w:rsid w:val="597350B8"/>
    <w:rsid w:val="599330CA"/>
    <w:rsid w:val="5A7FCB1F"/>
    <w:rsid w:val="5D7F192A"/>
    <w:rsid w:val="5E52BA77"/>
    <w:rsid w:val="5FEAF7C9"/>
    <w:rsid w:val="60D5009F"/>
    <w:rsid w:val="64AC2E11"/>
    <w:rsid w:val="652212B4"/>
    <w:rsid w:val="660721C9"/>
    <w:rsid w:val="661E6C75"/>
    <w:rsid w:val="67F75FF5"/>
    <w:rsid w:val="681D4831"/>
    <w:rsid w:val="692E4B19"/>
    <w:rsid w:val="69513EF7"/>
    <w:rsid w:val="6BF3256F"/>
    <w:rsid w:val="6CE7018A"/>
    <w:rsid w:val="6E3E3F2D"/>
    <w:rsid w:val="715B2F02"/>
    <w:rsid w:val="718630DB"/>
    <w:rsid w:val="761924C0"/>
    <w:rsid w:val="76A548F2"/>
    <w:rsid w:val="7765772E"/>
    <w:rsid w:val="776F5E62"/>
    <w:rsid w:val="77867685"/>
    <w:rsid w:val="77EE7FE7"/>
    <w:rsid w:val="781F36B6"/>
    <w:rsid w:val="78F32400"/>
    <w:rsid w:val="790627AD"/>
    <w:rsid w:val="79DFF8C4"/>
    <w:rsid w:val="7ADC59FA"/>
    <w:rsid w:val="7AFF2FC3"/>
    <w:rsid w:val="7BF6B4C5"/>
    <w:rsid w:val="7DDD794F"/>
    <w:rsid w:val="7DFA6624"/>
    <w:rsid w:val="7DFD8AD7"/>
    <w:rsid w:val="7DFEFB95"/>
    <w:rsid w:val="7ECD6B9A"/>
    <w:rsid w:val="7FBA576D"/>
    <w:rsid w:val="7FDE47D5"/>
    <w:rsid w:val="7FFC7CB2"/>
    <w:rsid w:val="7FFD003D"/>
    <w:rsid w:val="94BFC172"/>
    <w:rsid w:val="9BFA614C"/>
    <w:rsid w:val="AAFDD6AA"/>
    <w:rsid w:val="BAFE1E17"/>
    <w:rsid w:val="BBDF5B5A"/>
    <w:rsid w:val="BBE428C2"/>
    <w:rsid w:val="BFBF52D7"/>
    <w:rsid w:val="D9C286DF"/>
    <w:rsid w:val="DB275D46"/>
    <w:rsid w:val="DF6E82F1"/>
    <w:rsid w:val="DFCEE0CE"/>
    <w:rsid w:val="DFFF7077"/>
    <w:rsid w:val="EEBF76D9"/>
    <w:rsid w:val="F36EF6AC"/>
    <w:rsid w:val="F6FDCC0E"/>
    <w:rsid w:val="F767D450"/>
    <w:rsid w:val="F76FB1DB"/>
    <w:rsid w:val="F7FBEBBF"/>
    <w:rsid w:val="F9F3FBF0"/>
    <w:rsid w:val="FA39D4FF"/>
    <w:rsid w:val="FB9F8FA2"/>
    <w:rsid w:val="FDB5389F"/>
    <w:rsid w:val="FDFF12BB"/>
    <w:rsid w:val="FEF7954B"/>
    <w:rsid w:val="FFAFB80B"/>
    <w:rsid w:val="FFDF4FA5"/>
    <w:rsid w:val="FFEF29F4"/>
    <w:rsid w:val="FFF9F8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Calibri" w:hAnsi="Calibri" w:eastAsia="宋体" w:cs="Times New Roman"/>
      <w:b/>
      <w:bCs/>
      <w:kern w:val="0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basedOn w:val="7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9">
    <w:name w:val="页眉 Char"/>
    <w:basedOn w:val="7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basedOn w:val="7"/>
    <w:link w:val="3"/>
    <w:qFormat/>
    <w:uiPriority w:val="0"/>
    <w:rPr>
      <w:rFonts w:eastAsia="仿宋_GB2312"/>
      <w:kern w:val="2"/>
      <w:sz w:val="18"/>
      <w:szCs w:val="18"/>
    </w:rPr>
  </w:style>
  <w:style w:type="paragraph" w:customStyle="1" w:styleId="11">
    <w:name w:val="NormalIndent"/>
    <w:basedOn w:val="1"/>
    <w:qFormat/>
    <w:uiPriority w:val="0"/>
    <w:pPr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879</Words>
  <Characters>1032</Characters>
  <Lines>3</Lines>
  <Paragraphs>1</Paragraphs>
  <TotalTime>25</TotalTime>
  <ScaleCrop>false</ScaleCrop>
  <LinksUpToDate>false</LinksUpToDate>
  <CharactersWithSpaces>1032</CharactersWithSpaces>
  <Application>WPS Office_11.8.2.10587_F1E327BC-269C-435d-A152-05C5408002CA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2019-02-20T14:26:00Z</dcterms:created>
  <dc:creator>lhn</dc:creator>
  <cp:lastModifiedBy>uos</cp:lastModifiedBy>
  <cp:lastPrinted>2023-02-28T01:51:00Z</cp:lastPrinted>
  <dcterms:modified xsi:type="dcterms:W3CDTF">2026-04-27T14:55:19Z</dcterms:modified>
  <dc:title>财政支出绩效评价报告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2052-11.8.2.10587</vt:lpwstr>
  </property>
  <property fmtid="{D5CDD505-2E9C-101B-9397-08002B2CF9AE}" pid="3" name="KSOTemplateDocerSaveRecord">
    <vt:lpwstr>eyJoZGlkIjoiNDJiZmJhYTk5YWY5NTFhZWJjY2YxMGEyYjA2NTM2YmQiLCJ1c2VySWQiOiIyMzUyOTA4OTgifQ==</vt:lpwstr>
  </property>
  <property fmtid="{D5CDD505-2E9C-101B-9397-08002B2CF9AE}" pid="4" name="ICV">
    <vt:lpwstr>8535141468A544AAADABCA0BFEF5F2F1_13</vt:lpwstr>
  </property>
</Properties>
</file>