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0923BB">
      <w:pPr>
        <w:keepNext w:val="0"/>
        <w:keepLines w:val="0"/>
        <w:pageBreakBefore w:val="0"/>
        <w:widowControl w:val="0"/>
        <w:kinsoku/>
        <w:overflowPunct/>
        <w:autoSpaceDE/>
        <w:bidi w:val="0"/>
        <w:adjustRightInd/>
        <w:snapToGrid/>
        <w:spacing w:beforeLines="0" w:afterLines="0" w:line="600" w:lineRule="exact"/>
        <w:ind w:firstLine="0" w:firstLineChars="0"/>
        <w:rPr>
          <w:rFonts w:hint="eastAsia" w:ascii="方正黑体_GBK" w:hAnsi="方正黑体_GBK" w:eastAsia="方正黑体_GBK" w:cs="方正黑体_GBK"/>
          <w:color w:val="auto"/>
          <w:sz w:val="32"/>
          <w:szCs w:val="32"/>
          <w:lang w:val="en-US" w:eastAsia="zh-CN"/>
        </w:rPr>
      </w:pPr>
      <w:r>
        <w:rPr>
          <w:rFonts w:hint="eastAsia" w:ascii="方正黑体_GBK" w:hAnsi="方正黑体_GBK" w:eastAsia="方正黑体_GBK" w:cs="方正黑体_GBK"/>
          <w:color w:val="auto"/>
          <w:sz w:val="32"/>
          <w:szCs w:val="32"/>
          <w:lang w:eastAsia="zh-CN"/>
        </w:rPr>
        <w:t>附件</w:t>
      </w:r>
    </w:p>
    <w:p w14:paraId="35F4347B">
      <w:pPr>
        <w:keepNext w:val="0"/>
        <w:keepLines w:val="0"/>
        <w:pageBreakBefore w:val="0"/>
        <w:widowControl w:val="0"/>
        <w:kinsoku/>
        <w:overflowPunct/>
        <w:autoSpaceDE/>
        <w:bidi w:val="0"/>
        <w:adjustRightInd/>
        <w:snapToGrid/>
        <w:spacing w:beforeLines="0" w:afterLines="0" w:line="600" w:lineRule="exact"/>
        <w:rPr>
          <w:rFonts w:hint="eastAsia" w:ascii="黑体" w:hAnsi="黑体" w:eastAsia="黑体" w:cs="黑体"/>
          <w:color w:val="auto"/>
          <w:sz w:val="32"/>
          <w:szCs w:val="32"/>
          <w:lang w:val="en-US" w:eastAsia="zh-CN"/>
        </w:rPr>
      </w:pPr>
    </w:p>
    <w:p w14:paraId="2117311C">
      <w:pPr>
        <w:keepNext w:val="0"/>
        <w:keepLines w:val="0"/>
        <w:pageBreakBefore w:val="0"/>
        <w:widowControl w:val="0"/>
        <w:kinsoku/>
        <w:overflowPunct/>
        <w:autoSpaceDE/>
        <w:bidi w:val="0"/>
        <w:adjustRightInd/>
        <w:snapToGrid/>
        <w:spacing w:beforeLines="0" w:afterLines="0" w:line="600" w:lineRule="exact"/>
        <w:ind w:firstLine="0" w:firstLineChars="0"/>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开拓国际市场项目申报指南</w:t>
      </w:r>
    </w:p>
    <w:p w14:paraId="77DDD947">
      <w:pPr>
        <w:keepNext w:val="0"/>
        <w:keepLines w:val="0"/>
        <w:pageBreakBefore w:val="0"/>
        <w:widowControl w:val="0"/>
        <w:kinsoku/>
        <w:overflowPunct/>
        <w:autoSpaceDE/>
        <w:bidi w:val="0"/>
        <w:adjustRightInd/>
        <w:snapToGrid/>
        <w:spacing w:beforeLines="0" w:afterLines="0" w:line="600" w:lineRule="exact"/>
        <w:jc w:val="center"/>
        <w:rPr>
          <w:rFonts w:hint="eastAsia" w:ascii="方正小标宋简体" w:hAnsi="方正小标宋简体" w:eastAsia="方正小标宋简体" w:cs="方正小标宋简体"/>
          <w:color w:val="auto"/>
          <w:sz w:val="44"/>
          <w:szCs w:val="44"/>
          <w:lang w:eastAsia="zh-CN"/>
        </w:rPr>
      </w:pPr>
    </w:p>
    <w:p w14:paraId="12F7FBA4">
      <w:pPr>
        <w:keepNext w:val="0"/>
        <w:keepLines w:val="0"/>
        <w:pageBreakBefore w:val="0"/>
        <w:widowControl w:val="0"/>
        <w:numPr>
          <w:ilvl w:val="0"/>
          <w:numId w:val="0"/>
        </w:numPr>
        <w:kinsoku/>
        <w:wordWrap/>
        <w:overflowPunct/>
        <w:topLinePunct w:val="0"/>
        <w:autoSpaceDE/>
        <w:bidi w:val="0"/>
        <w:adjustRightInd/>
        <w:snapToGrid/>
        <w:spacing w:before="0" w:beforeLines="0" w:beforeAutospacing="0" w:after="0" w:afterLines="0" w:afterAutospacing="0" w:line="600" w:lineRule="exact"/>
        <w:ind w:left="0" w:leftChars="0" w:right="0" w:rightChars="0" w:firstLine="640" w:firstLineChars="200"/>
        <w:jc w:val="left"/>
        <w:outlineLvl w:val="9"/>
        <w:rPr>
          <w:rFonts w:hint="eastAsia" w:ascii="方正黑体_GBK" w:hAnsi="方正黑体_GBK" w:eastAsia="方正黑体_GBK" w:cs="方正黑体_GBK"/>
          <w:b w:val="0"/>
          <w:bCs/>
          <w:color w:val="auto"/>
          <w:sz w:val="32"/>
          <w:lang w:val="en-US" w:eastAsia="zh-CN"/>
        </w:rPr>
      </w:pPr>
      <w:r>
        <w:rPr>
          <w:rFonts w:hint="eastAsia" w:ascii="方正黑体_GBK" w:hAnsi="方正黑体_GBK" w:eastAsia="方正黑体_GBK" w:cs="方正黑体_GBK"/>
          <w:color w:val="auto"/>
          <w:sz w:val="32"/>
          <w:lang w:val="en-US" w:eastAsia="zh-CN"/>
        </w:rPr>
        <w:t>一、</w:t>
      </w:r>
      <w:r>
        <w:rPr>
          <w:rFonts w:hint="eastAsia" w:ascii="方正黑体_GBK" w:hAnsi="方正黑体_GBK" w:eastAsia="方正黑体_GBK" w:cs="方正黑体_GBK"/>
          <w:b w:val="0"/>
          <w:bCs/>
          <w:color w:val="auto"/>
          <w:sz w:val="32"/>
          <w:lang w:val="en-US" w:eastAsia="zh-CN"/>
        </w:rPr>
        <w:t>申报条件</w:t>
      </w:r>
    </w:p>
    <w:p w14:paraId="626B6BA4">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600" w:lineRule="exact"/>
        <w:ind w:right="0" w:rightChars="0" w:firstLine="640" w:firstLineChars="200"/>
        <w:jc w:val="left"/>
        <w:textAlignment w:val="auto"/>
        <w:outlineLvl w:val="9"/>
        <w:rPr>
          <w:rFonts w:hint="eastAsia" w:ascii="方正仿宋_GBK" w:hAnsi="方正仿宋_GBK" w:eastAsia="方正仿宋_GBK" w:cs="方正仿宋_GBK"/>
          <w:color w:val="auto"/>
          <w:sz w:val="32"/>
          <w:lang w:val="en-US" w:eastAsia="zh-CN"/>
        </w:rPr>
      </w:pPr>
      <w:r>
        <w:rPr>
          <w:rFonts w:hint="eastAsia" w:ascii="方正仿宋_GBK" w:hAnsi="方正仿宋_GBK" w:eastAsia="方正仿宋_GBK" w:cs="方正仿宋_GBK"/>
          <w:color w:val="auto"/>
          <w:sz w:val="32"/>
          <w:lang w:eastAsia="zh-CN"/>
        </w:rPr>
        <w:t>申请开拓国际市场项目扶持资金的企业及单位，应符合以下规定</w:t>
      </w:r>
      <w:r>
        <w:rPr>
          <w:rFonts w:hint="eastAsia" w:ascii="方正仿宋_GBK" w:hAnsi="方正仿宋_GBK" w:eastAsia="方正仿宋_GBK" w:cs="方正仿宋_GBK"/>
          <w:color w:val="auto"/>
          <w:sz w:val="32"/>
          <w:lang w:val="en-US" w:eastAsia="zh-CN"/>
        </w:rPr>
        <w:t>：</w:t>
      </w:r>
    </w:p>
    <w:p w14:paraId="575930F3">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600" w:lineRule="exact"/>
        <w:ind w:right="0" w:rightChars="0" w:firstLine="640" w:firstLineChars="200"/>
        <w:jc w:val="left"/>
        <w:textAlignment w:val="auto"/>
        <w:outlineLvl w:val="9"/>
        <w:rPr>
          <w:rFonts w:hint="eastAsia" w:ascii="方正仿宋_GBK" w:hAnsi="方正仿宋_GBK" w:eastAsia="方正仿宋_GBK" w:cs="方正仿宋_GBK"/>
          <w:color w:val="auto"/>
          <w:sz w:val="32"/>
          <w:lang w:eastAsia="zh-CN"/>
        </w:rPr>
      </w:pPr>
      <w:r>
        <w:rPr>
          <w:rFonts w:hint="eastAsia" w:ascii="方正仿宋_GBK" w:hAnsi="方正仿宋_GBK" w:eastAsia="方正仿宋_GBK" w:cs="方正仿宋_GBK"/>
          <w:color w:val="auto"/>
          <w:sz w:val="32"/>
          <w:lang w:val="en-US" w:eastAsia="zh-CN"/>
        </w:rPr>
        <w:t>（一）依法在我省登记注册的外贸企业。</w:t>
      </w:r>
    </w:p>
    <w:p w14:paraId="161ACCEB">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600" w:lineRule="exact"/>
        <w:ind w:right="0" w:rightChars="0" w:firstLine="640" w:firstLineChars="200"/>
        <w:jc w:val="left"/>
        <w:textAlignment w:val="auto"/>
        <w:outlineLvl w:val="9"/>
        <w:rPr>
          <w:rFonts w:hint="eastAsia" w:ascii="方正仿宋_GBK" w:hAnsi="方正仿宋_GBK" w:eastAsia="方正仿宋_GBK" w:cs="方正仿宋_GBK"/>
          <w:color w:val="auto"/>
          <w:sz w:val="32"/>
          <w:lang w:val="en-US" w:eastAsia="zh-CN"/>
        </w:rPr>
      </w:pPr>
      <w:r>
        <w:rPr>
          <w:rFonts w:hint="eastAsia" w:ascii="方正仿宋_GBK" w:hAnsi="方正仿宋_GBK" w:eastAsia="方正仿宋_GBK" w:cs="方正仿宋_GBK"/>
          <w:color w:val="auto"/>
          <w:sz w:val="32"/>
          <w:lang w:val="en-US" w:eastAsia="zh-CN"/>
        </w:rPr>
        <w:t>（二）近三年至少有一年开展进出口业务记录。</w:t>
      </w:r>
    </w:p>
    <w:p w14:paraId="525B0915">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600" w:lineRule="exact"/>
        <w:ind w:right="0" w:rightChars="0" w:firstLine="640" w:firstLineChars="200"/>
        <w:jc w:val="left"/>
        <w:textAlignment w:val="auto"/>
        <w:outlineLvl w:val="9"/>
        <w:rPr>
          <w:rFonts w:hint="eastAsia" w:ascii="方正仿宋_GBK" w:hAnsi="方正仿宋_GBK" w:eastAsia="方正仿宋_GBK" w:cs="方正仿宋_GBK"/>
          <w:color w:val="auto"/>
          <w:sz w:val="32"/>
          <w:lang w:eastAsia="zh-CN"/>
        </w:rPr>
      </w:pPr>
      <w:r>
        <w:rPr>
          <w:rFonts w:hint="eastAsia" w:ascii="方正仿宋_GBK" w:hAnsi="方正仿宋_GBK" w:eastAsia="方正仿宋_GBK" w:cs="方正仿宋_GBK"/>
          <w:color w:val="auto"/>
          <w:sz w:val="32"/>
          <w:lang w:val="en-US" w:eastAsia="zh-CN"/>
        </w:rPr>
        <w:t>（三）</w:t>
      </w:r>
      <w:r>
        <w:rPr>
          <w:rFonts w:hint="eastAsia" w:ascii="方正仿宋_GBK" w:hAnsi="方正仿宋_GBK" w:eastAsia="方正仿宋_GBK" w:cs="方正仿宋_GBK"/>
          <w:color w:val="auto"/>
          <w:sz w:val="32"/>
          <w:lang w:eastAsia="zh-CN"/>
        </w:rPr>
        <w:t>按照本申报指南明确的资金支持内容，已开展相关业务。</w:t>
      </w:r>
    </w:p>
    <w:p w14:paraId="5F0D0567">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600" w:lineRule="exact"/>
        <w:ind w:right="0" w:rightChars="0" w:firstLine="640" w:firstLineChars="200"/>
        <w:jc w:val="both"/>
        <w:textAlignment w:val="auto"/>
        <w:outlineLvl w:val="9"/>
        <w:rPr>
          <w:rFonts w:hint="eastAsia" w:ascii="方正仿宋_GBK" w:hAnsi="方正仿宋_GBK" w:eastAsia="方正仿宋_GBK" w:cs="方正仿宋_GBK"/>
          <w:color w:val="auto"/>
          <w:sz w:val="32"/>
          <w:highlight w:val="yellow"/>
          <w:lang w:eastAsia="zh-CN"/>
        </w:rPr>
      </w:pPr>
      <w:r>
        <w:rPr>
          <w:rFonts w:hint="eastAsia" w:ascii="方正仿宋_GBK" w:hAnsi="方正仿宋_GBK" w:eastAsia="方正仿宋_GBK" w:cs="方正仿宋_GBK"/>
          <w:color w:val="auto"/>
          <w:sz w:val="32"/>
          <w:lang w:val="en-US" w:eastAsia="zh-CN"/>
        </w:rPr>
        <w:t>（</w:t>
      </w:r>
      <w:r>
        <w:rPr>
          <w:rFonts w:hint="eastAsia" w:ascii="方正仿宋_GBK" w:hAnsi="方正仿宋_GBK" w:eastAsia="方正仿宋_GBK" w:cs="方正仿宋_GBK"/>
          <w:color w:val="auto"/>
          <w:sz w:val="32"/>
          <w:highlight w:val="none"/>
          <w:lang w:val="en-US" w:eastAsia="zh-CN"/>
        </w:rPr>
        <w:t>四）</w:t>
      </w:r>
      <w:r>
        <w:rPr>
          <w:rFonts w:hint="eastAsia" w:ascii="方正仿宋_GBK" w:hAnsi="方正仿宋_GBK" w:eastAsia="方正仿宋_GBK" w:cs="方正仿宋_GBK"/>
          <w:color w:val="auto"/>
          <w:sz w:val="32"/>
          <w:highlight w:val="none"/>
          <w:lang w:eastAsia="zh-CN"/>
        </w:rPr>
        <w:t>国家企业信用信息公示系统上</w:t>
      </w:r>
      <w:r>
        <w:rPr>
          <w:rFonts w:hint="eastAsia" w:ascii="方正仿宋_GBK" w:hAnsi="方正仿宋_GBK" w:eastAsia="方正仿宋_GBK" w:cs="方正仿宋_GBK"/>
          <w:color w:val="auto"/>
          <w:sz w:val="32"/>
          <w:highlight w:val="none"/>
          <w:lang w:val="en-US" w:eastAsia="zh-CN"/>
        </w:rPr>
        <w:t>近三年</w:t>
      </w:r>
      <w:r>
        <w:rPr>
          <w:rFonts w:hint="eastAsia" w:ascii="方正仿宋_GBK" w:hAnsi="方正仿宋_GBK" w:eastAsia="方正仿宋_GBK" w:cs="方正仿宋_GBK"/>
          <w:color w:val="auto"/>
          <w:sz w:val="32"/>
          <w:highlight w:val="none"/>
          <w:lang w:eastAsia="zh-CN"/>
        </w:rPr>
        <w:t>未列入严重违法失信企业（黑名单）信息（存在行政处罚信息记录，经有关执法部门认定为严重违规的，不予以支持），未拖欠应缴还的财政性资金；</w:t>
      </w:r>
      <w:r>
        <w:rPr>
          <w:rFonts w:hint="eastAsia" w:ascii="方正仿宋_GBK" w:hAnsi="方正仿宋_GBK" w:eastAsia="方正仿宋_GBK" w:cs="方正仿宋_GBK"/>
          <w:b w:val="0"/>
          <w:bCs w:val="0"/>
          <w:i w:val="0"/>
          <w:caps w:val="0"/>
          <w:color w:val="auto"/>
          <w:spacing w:val="0"/>
          <w:sz w:val="32"/>
          <w:szCs w:val="32"/>
          <w:highlight w:val="none"/>
          <w:lang w:val="en-US" w:eastAsia="zh-CN"/>
        </w:rPr>
        <w:t>申报资金项目当年未受到两次（含两次）以上生态环境部门或安全生产部门行政处罚和申报资金当年及上年度未连续受到生态环境部门或安全生产部门行政处罚。</w:t>
      </w:r>
      <w:bookmarkStart w:id="0" w:name="_GoBack"/>
      <w:bookmarkEnd w:id="0"/>
    </w:p>
    <w:p w14:paraId="6E445F05">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600" w:lineRule="exact"/>
        <w:ind w:leftChars="0" w:right="0" w:rightChars="0" w:firstLine="640" w:firstLineChars="200"/>
        <w:jc w:val="left"/>
        <w:textAlignment w:val="auto"/>
        <w:outlineLvl w:val="9"/>
        <w:rPr>
          <w:rFonts w:hint="eastAsia" w:ascii="方正仿宋_GBK" w:hAnsi="方正仿宋_GBK" w:eastAsia="方正仿宋_GBK" w:cs="方正仿宋_GBK"/>
          <w:color w:val="auto"/>
          <w:sz w:val="32"/>
          <w:lang w:eastAsia="zh-CN"/>
        </w:rPr>
      </w:pPr>
      <w:r>
        <w:rPr>
          <w:rFonts w:hint="eastAsia" w:ascii="方正仿宋_GBK" w:hAnsi="方正仿宋_GBK" w:eastAsia="方正仿宋_GBK" w:cs="方正仿宋_GBK"/>
          <w:color w:val="auto"/>
          <w:sz w:val="32"/>
          <w:lang w:val="en-US" w:eastAsia="zh-CN"/>
        </w:rPr>
        <w:t>（五）</w:t>
      </w:r>
      <w:r>
        <w:rPr>
          <w:rFonts w:hint="eastAsia" w:ascii="方正仿宋_GBK" w:hAnsi="方正仿宋_GBK" w:eastAsia="方正仿宋_GBK" w:cs="方正仿宋_GBK"/>
          <w:color w:val="auto"/>
          <w:sz w:val="32"/>
          <w:lang w:eastAsia="zh-CN"/>
        </w:rPr>
        <w:t>按国家有关规定要求报送统计资料。</w:t>
      </w:r>
    </w:p>
    <w:p w14:paraId="0B333C20">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600" w:lineRule="exact"/>
        <w:ind w:right="0" w:rightChars="0" w:firstLine="640" w:firstLineChars="200"/>
        <w:jc w:val="left"/>
        <w:textAlignment w:val="auto"/>
        <w:outlineLvl w:val="9"/>
        <w:rPr>
          <w:rFonts w:hint="eastAsia" w:ascii="方正仿宋_GBK" w:hAnsi="方正仿宋_GBK" w:eastAsia="方正仿宋_GBK" w:cs="方正仿宋_GBK"/>
          <w:color w:val="auto"/>
          <w:sz w:val="32"/>
          <w:lang w:eastAsia="zh-CN"/>
        </w:rPr>
      </w:pPr>
      <w:r>
        <w:rPr>
          <w:rFonts w:hint="eastAsia" w:ascii="方正仿宋_GBK" w:hAnsi="方正仿宋_GBK" w:eastAsia="方正仿宋_GBK" w:cs="方正仿宋_GBK"/>
          <w:color w:val="auto"/>
          <w:sz w:val="32"/>
          <w:lang w:val="en-US" w:eastAsia="zh-CN"/>
        </w:rPr>
        <w:t>（六）</w:t>
      </w:r>
      <w:r>
        <w:rPr>
          <w:rFonts w:hint="eastAsia" w:ascii="方正仿宋_GBK" w:hAnsi="方正仿宋_GBK" w:eastAsia="方正仿宋_GBK" w:cs="方正仿宋_GBK"/>
          <w:color w:val="auto"/>
          <w:sz w:val="32"/>
          <w:lang w:eastAsia="zh-CN"/>
        </w:rPr>
        <w:t>其他按省商务厅规定应具备的条件。</w:t>
      </w:r>
    </w:p>
    <w:p w14:paraId="67326D5D">
      <w:pPr>
        <w:keepNext w:val="0"/>
        <w:keepLines w:val="0"/>
        <w:pageBreakBefore w:val="0"/>
        <w:widowControl w:val="0"/>
        <w:kinsoku/>
        <w:wordWrap/>
        <w:overflowPunct/>
        <w:topLinePunct w:val="0"/>
        <w:autoSpaceDE/>
        <w:bidi w:val="0"/>
        <w:adjustRightInd/>
        <w:snapToGrid/>
        <w:spacing w:before="0" w:beforeLines="0" w:beforeAutospacing="0" w:after="0" w:afterLines="0" w:afterAutospacing="0" w:line="600" w:lineRule="exact"/>
        <w:ind w:left="0" w:leftChars="0" w:right="0" w:rightChars="0" w:firstLine="640" w:firstLineChars="200"/>
        <w:jc w:val="left"/>
        <w:outlineLvl w:val="9"/>
        <w:rPr>
          <w:rFonts w:hint="eastAsia" w:ascii="方正黑体_GBK" w:hAnsi="方正黑体_GBK" w:eastAsia="方正黑体_GBK" w:cs="方正黑体_GBK"/>
          <w:b/>
          <w:color w:val="auto"/>
          <w:sz w:val="32"/>
          <w:lang w:val="en-US" w:eastAsia="zh-CN"/>
        </w:rPr>
      </w:pPr>
      <w:r>
        <w:rPr>
          <w:rFonts w:hint="eastAsia" w:ascii="方正黑体_GBK" w:hAnsi="方正黑体_GBK" w:eastAsia="方正黑体_GBK" w:cs="方正黑体_GBK"/>
          <w:b w:val="0"/>
          <w:bCs/>
          <w:color w:val="auto"/>
          <w:sz w:val="32"/>
          <w:lang w:val="en-US" w:eastAsia="zh-CN"/>
        </w:rPr>
        <w:t>二、申请和受理</w:t>
      </w:r>
    </w:p>
    <w:p w14:paraId="5CDDE48A">
      <w:pPr>
        <w:pStyle w:val="5"/>
        <w:keepNext w:val="0"/>
        <w:keepLines w:val="0"/>
        <w:pageBreakBefore w:val="0"/>
        <w:widowControl w:val="0"/>
        <w:numPr>
          <w:ilvl w:val="0"/>
          <w:numId w:val="0"/>
        </w:numPr>
        <w:shd w:val="clear" w:color="auto" w:fill="FFFFFF"/>
        <w:kinsoku/>
        <w:wordWrap w:val="0"/>
        <w:overflowPunct/>
        <w:topLinePunct/>
        <w:autoSpaceDE/>
        <w:bidi w:val="0"/>
        <w:adjustRightInd/>
        <w:snapToGrid/>
        <w:spacing w:before="0" w:beforeLines="0" w:beforeAutospacing="0" w:after="0" w:afterLines="0" w:afterAutospacing="0" w:line="600" w:lineRule="exact"/>
        <w:ind w:right="0" w:rightChars="0" w:firstLine="640" w:firstLineChars="200"/>
        <w:jc w:val="both"/>
        <w:outlineLvl w:val="9"/>
        <w:rPr>
          <w:rFonts w:hint="eastAsia" w:ascii="方正仿宋_GBK" w:hAnsi="方正仿宋_GBK" w:eastAsia="方正仿宋_GBK" w:cs="方正仿宋_GBK"/>
          <w:b w:val="0"/>
          <w:bCs/>
          <w:color w:val="auto"/>
          <w:sz w:val="32"/>
          <w:lang w:eastAsia="zh-CN"/>
        </w:rPr>
      </w:pPr>
      <w:r>
        <w:rPr>
          <w:rFonts w:hint="eastAsia" w:ascii="方正楷体_GBK" w:hAnsi="方正楷体_GBK" w:eastAsia="方正楷体_GBK" w:cs="方正楷体_GBK"/>
          <w:b w:val="0"/>
          <w:bCs/>
          <w:color w:val="auto"/>
          <w:sz w:val="32"/>
          <w:lang w:val="en-US" w:eastAsia="zh-CN"/>
        </w:rPr>
        <w:t>（一）网上申请。</w:t>
      </w:r>
      <w:r>
        <w:rPr>
          <w:rFonts w:hint="eastAsia" w:ascii="方正仿宋_GBK" w:hAnsi="方正仿宋_GBK" w:eastAsia="方正仿宋_GBK" w:cs="方正仿宋_GBK"/>
          <w:b w:val="0"/>
          <w:bCs/>
          <w:color w:val="auto"/>
          <w:sz w:val="32"/>
          <w:lang w:val="en-US" w:eastAsia="zh-CN"/>
        </w:rPr>
        <w:t>资金申请单位在项目实施完成后，按本申报指南规定的申报时间登录商务部业务系统统一平台</w:t>
      </w:r>
      <w:r>
        <w:rPr>
          <w:rFonts w:hint="eastAsia" w:ascii="方正仿宋_GBK" w:hAnsi="方正仿宋_GBK" w:eastAsia="方正仿宋_GBK" w:cs="方正仿宋_GBK"/>
          <w:b w:val="0"/>
          <w:bCs/>
          <w:color w:val="auto"/>
          <w:sz w:val="32"/>
          <w:lang w:val="en-US" w:eastAsia="zh-CN"/>
        </w:rPr>
        <w:fldChar w:fldCharType="begin"/>
      </w:r>
      <w:r>
        <w:rPr>
          <w:rFonts w:hint="eastAsia" w:ascii="方正仿宋_GBK" w:hAnsi="方正仿宋_GBK" w:eastAsia="方正仿宋_GBK" w:cs="方正仿宋_GBK"/>
          <w:b w:val="0"/>
          <w:bCs/>
          <w:color w:val="auto"/>
          <w:sz w:val="32"/>
          <w:lang w:val="en-US" w:eastAsia="zh-CN"/>
        </w:rPr>
        <w:instrText xml:space="preserve"> HYPERLINK "https://ecomp.mofcom.gov.cn/" </w:instrText>
      </w:r>
      <w:r>
        <w:rPr>
          <w:rFonts w:hint="eastAsia" w:ascii="方正仿宋_GBK" w:hAnsi="方正仿宋_GBK" w:eastAsia="方正仿宋_GBK" w:cs="方正仿宋_GBK"/>
          <w:b w:val="0"/>
          <w:bCs/>
          <w:color w:val="auto"/>
          <w:sz w:val="32"/>
          <w:lang w:val="en-US" w:eastAsia="zh-CN"/>
        </w:rPr>
        <w:fldChar w:fldCharType="separate"/>
      </w:r>
      <w:r>
        <w:rPr>
          <w:rFonts w:hint="eastAsia" w:ascii="方正仿宋_GBK" w:hAnsi="方正仿宋_GBK" w:eastAsia="方正仿宋_GBK" w:cs="方正仿宋_GBK"/>
          <w:b w:val="0"/>
          <w:bCs/>
          <w:color w:val="auto"/>
          <w:sz w:val="32"/>
          <w:lang w:val="en-US" w:eastAsia="zh-CN"/>
        </w:rPr>
        <w:t>https://ecomp.mofcom.gov.cn/</w:t>
      </w:r>
      <w:r>
        <w:rPr>
          <w:rFonts w:hint="eastAsia" w:ascii="方正仿宋_GBK" w:hAnsi="方正仿宋_GBK" w:eastAsia="方正仿宋_GBK" w:cs="方正仿宋_GBK"/>
          <w:b w:val="0"/>
          <w:bCs/>
          <w:color w:val="auto"/>
          <w:sz w:val="32"/>
          <w:lang w:val="en-US" w:eastAsia="zh-CN"/>
        </w:rPr>
        <w:fldChar w:fldCharType="end"/>
      </w:r>
      <w:r>
        <w:rPr>
          <w:rFonts w:hint="eastAsia" w:ascii="方正仿宋_GBK" w:hAnsi="方正仿宋_GBK" w:eastAsia="方正仿宋_GBK" w:cs="方正仿宋_GBK"/>
          <w:b w:val="0"/>
          <w:bCs/>
          <w:color w:val="auto"/>
          <w:sz w:val="32"/>
          <w:lang w:val="en-US" w:eastAsia="zh-CN"/>
        </w:rPr>
        <w:t>，添加外经贸发展专项资金（中小）网络管理应用（原网址http://zxkt.mofcom.gov.cn），在该网站填报相关项目信息并提交资金申请</w:t>
      </w:r>
      <w:r>
        <w:rPr>
          <w:rFonts w:hint="eastAsia" w:ascii="方正仿宋_GBK" w:hAnsi="方正仿宋_GBK" w:eastAsia="方正仿宋_GBK" w:cs="方正仿宋_GBK"/>
          <w:b w:val="0"/>
          <w:bCs/>
          <w:color w:val="auto"/>
          <w:sz w:val="32"/>
          <w:lang w:eastAsia="zh-CN"/>
        </w:rPr>
        <w:t>。具体操作指南请登录以下网址查阅：</w:t>
      </w:r>
      <w:r>
        <w:rPr>
          <w:rFonts w:hint="eastAsia" w:ascii="方正仿宋_GBK" w:hAnsi="方正仿宋_GBK" w:eastAsia="方正仿宋_GBK" w:cs="方正仿宋_GBK"/>
          <w:b w:val="0"/>
          <w:bCs/>
          <w:color w:val="auto"/>
          <w:sz w:val="32"/>
          <w:lang w:eastAsia="zh-CN"/>
        </w:rPr>
        <w:fldChar w:fldCharType="begin"/>
      </w:r>
      <w:r>
        <w:rPr>
          <w:rFonts w:hint="eastAsia" w:ascii="方正仿宋_GBK" w:hAnsi="方正仿宋_GBK" w:eastAsia="方正仿宋_GBK" w:cs="方正仿宋_GBK"/>
          <w:b w:val="0"/>
          <w:bCs/>
          <w:color w:val="auto"/>
          <w:sz w:val="32"/>
          <w:lang w:eastAsia="zh-CN"/>
        </w:rPr>
        <w:instrText xml:space="preserve"> HYPERLINK "https://zxkt.mofcom.gov.cn/download/OperatingInstructions.pdf" </w:instrText>
      </w:r>
      <w:r>
        <w:rPr>
          <w:rFonts w:hint="eastAsia" w:ascii="方正仿宋_GBK" w:hAnsi="方正仿宋_GBK" w:eastAsia="方正仿宋_GBK" w:cs="方正仿宋_GBK"/>
          <w:b w:val="0"/>
          <w:bCs/>
          <w:color w:val="auto"/>
          <w:sz w:val="32"/>
          <w:lang w:eastAsia="zh-CN"/>
        </w:rPr>
        <w:fldChar w:fldCharType="separate"/>
      </w:r>
      <w:r>
        <w:rPr>
          <w:rStyle w:val="4"/>
          <w:rFonts w:hint="eastAsia" w:ascii="方正仿宋_GBK" w:hAnsi="方正仿宋_GBK" w:eastAsia="方正仿宋_GBK" w:cs="方正仿宋_GBK"/>
          <w:b w:val="0"/>
          <w:bCs/>
          <w:color w:val="auto"/>
          <w:sz w:val="32"/>
          <w:lang w:eastAsia="zh-CN"/>
        </w:rPr>
        <w:t>https://zxkt.mofcom.gov.cn/download/OperatingInstructions.pdf</w:t>
      </w:r>
      <w:r>
        <w:rPr>
          <w:rFonts w:hint="eastAsia" w:ascii="方正仿宋_GBK" w:hAnsi="方正仿宋_GBK" w:eastAsia="方正仿宋_GBK" w:cs="方正仿宋_GBK"/>
          <w:b w:val="0"/>
          <w:bCs/>
          <w:color w:val="auto"/>
          <w:sz w:val="32"/>
          <w:lang w:eastAsia="zh-CN"/>
        </w:rPr>
        <w:fldChar w:fldCharType="end"/>
      </w:r>
      <w:r>
        <w:rPr>
          <w:rFonts w:hint="eastAsia" w:ascii="方正仿宋_GBK" w:hAnsi="方正仿宋_GBK" w:eastAsia="方正仿宋_GBK" w:cs="方正仿宋_GBK"/>
          <w:b w:val="0"/>
          <w:bCs/>
          <w:color w:val="auto"/>
          <w:sz w:val="32"/>
          <w:lang w:eastAsia="zh-CN"/>
        </w:rPr>
        <w:t>首次注册的用户须在注册后提交相关资质证书及网上注册登记表到企业注册所在地的市县商务主管部门进行网上申报资质审核，</w:t>
      </w:r>
      <w:r>
        <w:rPr>
          <w:rFonts w:hint="eastAsia" w:ascii="方正仿宋_GBK" w:hAnsi="方正仿宋_GBK" w:eastAsia="方正仿宋_GBK" w:cs="方正仿宋_GBK"/>
          <w:color w:val="auto"/>
          <w:sz w:val="32"/>
          <w:lang w:val="en-US" w:eastAsia="zh-CN"/>
        </w:rPr>
        <w:t>由相关的商务主管部门在网上对企业提交的资质申请材料进行审核并公示</w:t>
      </w:r>
      <w:r>
        <w:rPr>
          <w:rFonts w:hint="eastAsia" w:ascii="方正仿宋_GBK" w:hAnsi="方正仿宋_GBK" w:eastAsia="方正仿宋_GBK" w:cs="方正仿宋_GBK"/>
          <w:b w:val="0"/>
          <w:bCs/>
          <w:color w:val="auto"/>
          <w:sz w:val="32"/>
          <w:lang w:eastAsia="zh-CN"/>
        </w:rPr>
        <w:t>。</w:t>
      </w:r>
    </w:p>
    <w:p w14:paraId="5362125B">
      <w:pPr>
        <w:keepNext w:val="0"/>
        <w:keepLines w:val="0"/>
        <w:pageBreakBefore w:val="0"/>
        <w:widowControl w:val="0"/>
        <w:numPr>
          <w:ilvl w:val="0"/>
          <w:numId w:val="0"/>
        </w:numPr>
        <w:kinsoku/>
        <w:wordWrap/>
        <w:overflowPunct/>
        <w:topLinePunct w:val="0"/>
        <w:autoSpaceDE/>
        <w:bidi w:val="0"/>
        <w:adjustRightInd/>
        <w:snapToGrid/>
        <w:spacing w:before="0" w:beforeLines="0" w:beforeAutospacing="0" w:after="0" w:afterLines="0" w:afterAutospacing="0" w:line="600" w:lineRule="exact"/>
        <w:ind w:left="0" w:leftChars="0" w:right="0" w:rightChars="0" w:firstLine="640" w:firstLineChars="200"/>
        <w:jc w:val="left"/>
        <w:outlineLvl w:val="9"/>
        <w:rPr>
          <w:rFonts w:hint="eastAsia" w:ascii="方正楷体_GBK" w:hAnsi="方正楷体_GBK" w:eastAsia="方正楷体_GBK" w:cs="方正楷体_GBK"/>
          <w:b w:val="0"/>
          <w:bCs/>
          <w:color w:val="auto"/>
          <w:sz w:val="32"/>
          <w:szCs w:val="24"/>
          <w:lang w:val="en-US" w:eastAsia="zh-CN"/>
        </w:rPr>
      </w:pPr>
      <w:r>
        <w:rPr>
          <w:rFonts w:hint="eastAsia" w:ascii="方正楷体_GBK" w:hAnsi="方正楷体_GBK" w:eastAsia="方正楷体_GBK" w:cs="方正楷体_GBK"/>
          <w:b w:val="0"/>
          <w:bCs/>
          <w:color w:val="auto"/>
          <w:sz w:val="32"/>
          <w:szCs w:val="24"/>
          <w:lang w:val="en-US" w:eastAsia="zh-CN"/>
        </w:rPr>
        <w:t>（二）纸质材料申请。</w:t>
      </w:r>
    </w:p>
    <w:p w14:paraId="21F325D8">
      <w:pPr>
        <w:keepNext w:val="0"/>
        <w:keepLines w:val="0"/>
        <w:pageBreakBefore w:val="0"/>
        <w:widowControl w:val="0"/>
        <w:numPr>
          <w:ilvl w:val="0"/>
          <w:numId w:val="0"/>
        </w:numPr>
        <w:kinsoku/>
        <w:wordWrap/>
        <w:overflowPunct/>
        <w:topLinePunct w:val="0"/>
        <w:autoSpaceDE/>
        <w:bidi w:val="0"/>
        <w:adjustRightInd/>
        <w:snapToGrid/>
        <w:spacing w:before="0" w:beforeLines="0" w:beforeAutospacing="0" w:after="0" w:afterLines="0" w:afterAutospacing="0" w:line="600" w:lineRule="exact"/>
        <w:ind w:left="0" w:leftChars="0" w:right="0" w:rightChars="0" w:firstLine="640" w:firstLineChars="200"/>
        <w:jc w:val="both"/>
        <w:outlineLvl w:val="9"/>
        <w:rPr>
          <w:rFonts w:hint="eastAsia" w:ascii="方正仿宋_GBK" w:hAnsi="方正仿宋_GBK" w:eastAsia="方正仿宋_GBK" w:cs="方正仿宋_GBK"/>
          <w:color w:val="auto"/>
          <w:sz w:val="32"/>
          <w:highlight w:val="yellow"/>
          <w:lang w:val="en-US" w:eastAsia="zh-CN"/>
        </w:rPr>
      </w:pPr>
      <w:r>
        <w:rPr>
          <w:rFonts w:hint="eastAsia" w:ascii="方正仿宋_GBK" w:hAnsi="方正仿宋_GBK" w:eastAsia="方正仿宋_GBK" w:cs="方正仿宋_GBK"/>
          <w:color w:val="auto"/>
          <w:sz w:val="32"/>
          <w:lang w:val="en-US" w:eastAsia="zh-CN"/>
        </w:rPr>
        <w:t>1.</w:t>
      </w:r>
      <w:r>
        <w:rPr>
          <w:rFonts w:hint="eastAsia" w:ascii="方正仿宋_GBK" w:hAnsi="方正仿宋_GBK" w:eastAsia="方正仿宋_GBK" w:cs="方正仿宋_GBK"/>
          <w:color w:val="auto"/>
          <w:sz w:val="32"/>
          <w:szCs w:val="32"/>
          <w:lang w:eastAsia="zh-CN"/>
        </w:rPr>
        <w:t>申请材料实行属地受理，资金申请单位向注册所在地的市县商务主管部门递交资金申请材料</w:t>
      </w:r>
      <w:r>
        <w:rPr>
          <w:rFonts w:hint="eastAsia" w:ascii="方正仿宋_GBK" w:hAnsi="方正仿宋_GBK" w:eastAsia="方正仿宋_GBK" w:cs="方正仿宋_GBK"/>
          <w:color w:val="auto"/>
          <w:sz w:val="32"/>
          <w:szCs w:val="32"/>
          <w:lang w:val="en-US" w:eastAsia="zh-CN"/>
        </w:rPr>
        <w:t>（一式两份）</w:t>
      </w:r>
      <w:r>
        <w:rPr>
          <w:rFonts w:hint="eastAsia" w:ascii="方正仿宋_GBK" w:hAnsi="方正仿宋_GBK" w:eastAsia="方正仿宋_GBK" w:cs="方正仿宋_GBK"/>
          <w:color w:val="auto"/>
          <w:sz w:val="32"/>
          <w:szCs w:val="32"/>
          <w:lang w:eastAsia="zh-CN"/>
        </w:rPr>
        <w:t>。当地市县商务主管部门初审同意后，将资金申请材料统一上报省商务厅组织审核。</w:t>
      </w:r>
      <w:r>
        <w:rPr>
          <w:rFonts w:hint="eastAsia" w:ascii="方正仿宋_GBK" w:hAnsi="方正仿宋_GBK" w:eastAsia="方正仿宋_GBK" w:cs="方正仿宋_GBK"/>
          <w:color w:val="auto"/>
          <w:sz w:val="32"/>
          <w:highlight w:val="none"/>
          <w:lang w:val="en-US" w:eastAsia="zh-CN"/>
        </w:rPr>
        <w:t>市县商务主管部门自留一份资金申请材料。</w:t>
      </w:r>
    </w:p>
    <w:p w14:paraId="666EEA2A">
      <w:pPr>
        <w:keepNext w:val="0"/>
        <w:keepLines w:val="0"/>
        <w:pageBreakBefore w:val="0"/>
        <w:widowControl w:val="0"/>
        <w:numPr>
          <w:ilvl w:val="0"/>
          <w:numId w:val="0"/>
        </w:numPr>
        <w:kinsoku/>
        <w:wordWrap/>
        <w:overflowPunct/>
        <w:topLinePunct w:val="0"/>
        <w:autoSpaceDE/>
        <w:bidi w:val="0"/>
        <w:adjustRightInd/>
        <w:snapToGrid/>
        <w:spacing w:before="0" w:beforeLines="0" w:beforeAutospacing="0" w:after="0" w:afterLines="0" w:afterAutospacing="0" w:line="600" w:lineRule="exact"/>
        <w:ind w:left="0" w:leftChars="0" w:right="0" w:rightChars="0" w:firstLine="640" w:firstLineChars="200"/>
        <w:jc w:val="both"/>
        <w:outlineLvl w:val="9"/>
        <w:rPr>
          <w:rFonts w:hint="eastAsia" w:ascii="方正仿宋_GBK" w:hAnsi="方正仿宋_GBK" w:eastAsia="方正仿宋_GBK" w:cs="方正仿宋_GBK"/>
          <w:color w:val="auto"/>
          <w:sz w:val="32"/>
          <w:highlight w:val="none"/>
          <w:lang w:val="en-US" w:eastAsia="zh-CN"/>
        </w:rPr>
      </w:pPr>
      <w:r>
        <w:rPr>
          <w:rFonts w:hint="eastAsia" w:ascii="方正仿宋_GBK" w:hAnsi="方正仿宋_GBK" w:eastAsia="方正仿宋_GBK" w:cs="方正仿宋_GBK"/>
          <w:color w:val="auto"/>
          <w:sz w:val="32"/>
          <w:highlight w:val="none"/>
          <w:lang w:val="en-US" w:eastAsia="zh-CN"/>
        </w:rPr>
        <w:t>2.资金申请单位报送书面材料时应同时提供有关凭证原件，经相关市县商务主管部门核对后退回，同时省商务厅可根据审核情况通知资金申请单位提交有关凭证原件进行二次核对。</w:t>
      </w:r>
    </w:p>
    <w:p w14:paraId="459CE9DF">
      <w:pPr>
        <w:keepNext w:val="0"/>
        <w:keepLines w:val="0"/>
        <w:pageBreakBefore w:val="0"/>
        <w:widowControl w:val="0"/>
        <w:numPr>
          <w:ilvl w:val="0"/>
          <w:numId w:val="0"/>
        </w:numPr>
        <w:kinsoku/>
        <w:wordWrap/>
        <w:overflowPunct/>
        <w:topLinePunct w:val="0"/>
        <w:autoSpaceDE/>
        <w:bidi w:val="0"/>
        <w:adjustRightInd/>
        <w:snapToGrid/>
        <w:spacing w:before="0" w:beforeLines="0" w:beforeAutospacing="0" w:after="0" w:afterLines="0" w:afterAutospacing="0" w:line="600" w:lineRule="exact"/>
        <w:ind w:left="0" w:leftChars="0" w:right="0" w:rightChars="0" w:firstLine="640" w:firstLineChars="200"/>
        <w:jc w:val="both"/>
        <w:outlineLvl w:val="9"/>
        <w:rPr>
          <w:rFonts w:hint="eastAsia" w:ascii="方正仿宋_GBK" w:hAnsi="方正仿宋_GBK" w:eastAsia="方正仿宋_GBK" w:cs="方正仿宋_GBK"/>
          <w:color w:val="auto"/>
          <w:sz w:val="32"/>
          <w:highlight w:val="none"/>
          <w:lang w:val="en-US" w:eastAsia="zh-CN"/>
        </w:rPr>
      </w:pPr>
      <w:r>
        <w:rPr>
          <w:rFonts w:hint="eastAsia" w:ascii="方正仿宋_GBK" w:hAnsi="方正仿宋_GBK" w:eastAsia="方正仿宋_GBK" w:cs="方正仿宋_GBK"/>
          <w:color w:val="auto"/>
          <w:sz w:val="32"/>
          <w:highlight w:val="none"/>
          <w:lang w:val="en-US" w:eastAsia="zh-CN"/>
        </w:rPr>
        <w:t>3.申请材料必须齐全规范，能真实反映项目实施情况。</w:t>
      </w:r>
    </w:p>
    <w:p w14:paraId="17075583">
      <w:pPr>
        <w:keepNext w:val="0"/>
        <w:keepLines w:val="0"/>
        <w:pageBreakBefore w:val="0"/>
        <w:widowControl w:val="0"/>
        <w:numPr>
          <w:ilvl w:val="0"/>
          <w:numId w:val="0"/>
        </w:numPr>
        <w:kinsoku/>
        <w:wordWrap/>
        <w:overflowPunct/>
        <w:topLinePunct w:val="0"/>
        <w:autoSpaceDE/>
        <w:bidi w:val="0"/>
        <w:adjustRightInd/>
        <w:snapToGrid/>
        <w:spacing w:before="0" w:beforeLines="0" w:beforeAutospacing="0" w:after="0" w:afterLines="0" w:afterAutospacing="0" w:line="600" w:lineRule="exact"/>
        <w:ind w:left="0" w:leftChars="0" w:right="0" w:rightChars="0" w:firstLine="640" w:firstLineChars="200"/>
        <w:jc w:val="both"/>
        <w:outlineLvl w:val="9"/>
        <w:rPr>
          <w:rFonts w:hint="eastAsia" w:ascii="方正仿宋_GBK" w:hAnsi="方正仿宋_GBK" w:eastAsia="方正仿宋_GBK" w:cs="方正仿宋_GBK"/>
          <w:color w:val="auto"/>
          <w:sz w:val="32"/>
          <w:highlight w:val="none"/>
          <w:lang w:val="en-US" w:eastAsia="zh-CN"/>
        </w:rPr>
      </w:pPr>
      <w:r>
        <w:rPr>
          <w:rFonts w:hint="eastAsia" w:ascii="方正仿宋_GBK" w:hAnsi="方正仿宋_GBK" w:eastAsia="方正仿宋_GBK" w:cs="方正仿宋_GBK"/>
          <w:color w:val="auto"/>
          <w:sz w:val="32"/>
          <w:highlight w:val="none"/>
          <w:lang w:val="en-US" w:eastAsia="zh-CN"/>
        </w:rPr>
        <w:t>4.申请材料中的复印件材料必须清晰完整且加盖申请单位印章，复印件不清晰不完整的材料一律退回不受理。</w:t>
      </w:r>
    </w:p>
    <w:p w14:paraId="560D30CD">
      <w:pPr>
        <w:keepNext w:val="0"/>
        <w:keepLines w:val="0"/>
        <w:pageBreakBefore w:val="0"/>
        <w:widowControl w:val="0"/>
        <w:numPr>
          <w:ilvl w:val="0"/>
          <w:numId w:val="0"/>
        </w:numPr>
        <w:kinsoku/>
        <w:wordWrap/>
        <w:overflowPunct/>
        <w:topLinePunct w:val="0"/>
        <w:autoSpaceDE/>
        <w:bidi w:val="0"/>
        <w:adjustRightInd/>
        <w:snapToGrid/>
        <w:spacing w:before="0" w:beforeLines="0" w:beforeAutospacing="0" w:after="0" w:afterLines="0" w:afterAutospacing="0" w:line="600" w:lineRule="exact"/>
        <w:ind w:left="0" w:leftChars="0" w:right="0" w:rightChars="0" w:firstLine="640" w:firstLineChars="200"/>
        <w:jc w:val="both"/>
        <w:outlineLvl w:val="9"/>
        <w:rPr>
          <w:rFonts w:hint="eastAsia" w:ascii="方正仿宋_GBK" w:hAnsi="方正仿宋_GBK" w:eastAsia="方正仿宋_GBK" w:cs="方正仿宋_GBK"/>
          <w:color w:val="auto"/>
          <w:sz w:val="32"/>
          <w:highlight w:val="none"/>
          <w:lang w:val="en-US" w:eastAsia="zh-CN"/>
        </w:rPr>
      </w:pPr>
      <w:r>
        <w:rPr>
          <w:rFonts w:hint="eastAsia" w:ascii="方正仿宋_GBK" w:hAnsi="方正仿宋_GBK" w:eastAsia="方正仿宋_GBK" w:cs="方正仿宋_GBK"/>
          <w:color w:val="auto"/>
          <w:sz w:val="32"/>
          <w:highlight w:val="none"/>
          <w:lang w:val="en-US" w:eastAsia="zh-CN"/>
        </w:rPr>
        <w:t>5.申请材料应按顺序编写目录及页码。</w:t>
      </w:r>
    </w:p>
    <w:p w14:paraId="7AA20EC5">
      <w:pPr>
        <w:keepNext w:val="0"/>
        <w:keepLines w:val="0"/>
        <w:pageBreakBefore w:val="0"/>
        <w:widowControl w:val="0"/>
        <w:numPr>
          <w:ilvl w:val="0"/>
          <w:numId w:val="0"/>
        </w:numPr>
        <w:kinsoku/>
        <w:wordWrap/>
        <w:overflowPunct/>
        <w:topLinePunct w:val="0"/>
        <w:autoSpaceDE/>
        <w:bidi w:val="0"/>
        <w:adjustRightInd/>
        <w:snapToGrid/>
        <w:spacing w:before="0" w:beforeLines="0" w:beforeAutospacing="0" w:after="0" w:afterLines="0" w:afterAutospacing="0" w:line="600" w:lineRule="exact"/>
        <w:ind w:left="0" w:leftChars="0" w:right="0" w:rightChars="0" w:firstLine="640" w:firstLineChars="200"/>
        <w:jc w:val="left"/>
        <w:outlineLvl w:val="9"/>
        <w:rPr>
          <w:rFonts w:hint="eastAsia" w:ascii="方正仿宋_GBK" w:hAnsi="方正仿宋_GBK" w:eastAsia="方正仿宋_GBK" w:cs="方正仿宋_GBK"/>
          <w:b/>
          <w:bCs/>
          <w:color w:val="auto"/>
          <w:sz w:val="32"/>
          <w:highlight w:val="none"/>
          <w:lang w:val="en-US" w:eastAsia="zh-CN"/>
        </w:rPr>
      </w:pPr>
      <w:r>
        <w:rPr>
          <w:rFonts w:hint="eastAsia" w:ascii="方正仿宋_GBK" w:hAnsi="方正仿宋_GBK" w:eastAsia="方正仿宋_GBK" w:cs="方正仿宋_GBK"/>
          <w:b w:val="0"/>
          <w:bCs w:val="0"/>
          <w:color w:val="auto"/>
          <w:sz w:val="32"/>
          <w:highlight w:val="none"/>
          <w:lang w:val="en-US" w:eastAsia="zh-CN"/>
        </w:rPr>
        <w:t>6.英文材料应提供中文翻译。</w:t>
      </w:r>
    </w:p>
    <w:p w14:paraId="2D5AE51F">
      <w:pPr>
        <w:keepNext w:val="0"/>
        <w:keepLines w:val="0"/>
        <w:pageBreakBefore w:val="0"/>
        <w:widowControl w:val="0"/>
        <w:numPr>
          <w:ilvl w:val="0"/>
          <w:numId w:val="0"/>
        </w:numPr>
        <w:kinsoku/>
        <w:wordWrap/>
        <w:overflowPunct/>
        <w:topLinePunct w:val="0"/>
        <w:autoSpaceDE/>
        <w:bidi w:val="0"/>
        <w:adjustRightInd/>
        <w:snapToGrid/>
        <w:spacing w:before="0" w:beforeLines="0" w:beforeAutospacing="0" w:after="0" w:afterLines="0" w:afterAutospacing="0" w:line="600" w:lineRule="exact"/>
        <w:ind w:left="0" w:leftChars="0" w:right="0" w:rightChars="0" w:firstLine="640" w:firstLineChars="200"/>
        <w:jc w:val="left"/>
        <w:outlineLvl w:val="9"/>
        <w:rPr>
          <w:rFonts w:hint="eastAsia" w:ascii="方正黑体_GBK" w:hAnsi="方正黑体_GBK" w:eastAsia="方正黑体_GBK" w:cs="方正黑体_GBK"/>
          <w:b/>
          <w:color w:val="auto"/>
          <w:sz w:val="32"/>
          <w:lang w:val="en-US" w:eastAsia="zh-CN"/>
        </w:rPr>
      </w:pPr>
      <w:r>
        <w:rPr>
          <w:rFonts w:hint="eastAsia" w:ascii="方正黑体_GBK" w:hAnsi="方正黑体_GBK" w:eastAsia="方正黑体_GBK" w:cs="方正黑体_GBK"/>
          <w:b w:val="0"/>
          <w:bCs/>
          <w:color w:val="auto"/>
          <w:sz w:val="32"/>
          <w:lang w:val="en-US" w:eastAsia="zh-CN"/>
        </w:rPr>
        <w:t>三、申报时间</w:t>
      </w:r>
      <w:r>
        <w:rPr>
          <w:rFonts w:hint="eastAsia" w:ascii="方正黑体_GBK" w:hAnsi="方正黑体_GBK" w:eastAsia="方正黑体_GBK" w:cs="方正黑体_GBK"/>
          <w:b/>
          <w:color w:val="auto"/>
          <w:sz w:val="32"/>
          <w:lang w:val="en-US" w:eastAsia="zh-CN"/>
        </w:rPr>
        <w:t xml:space="preserve"> </w:t>
      </w:r>
    </w:p>
    <w:p w14:paraId="765D2A0E">
      <w:pPr>
        <w:keepNext w:val="0"/>
        <w:keepLines w:val="0"/>
        <w:pageBreakBefore w:val="0"/>
        <w:widowControl w:val="0"/>
        <w:numPr>
          <w:ilvl w:val="0"/>
          <w:numId w:val="0"/>
        </w:numPr>
        <w:kinsoku/>
        <w:wordWrap/>
        <w:overflowPunct/>
        <w:topLinePunct w:val="0"/>
        <w:autoSpaceDE/>
        <w:autoSpaceDN/>
        <w:bidi w:val="0"/>
        <w:adjustRightInd/>
        <w:snapToGrid/>
        <w:spacing w:before="0" w:beforeLines="0" w:beforeAutospacing="0" w:after="0" w:afterLines="0" w:afterAutospacing="0" w:line="600" w:lineRule="exact"/>
        <w:ind w:left="0" w:leftChars="0" w:right="0" w:rightChars="0" w:firstLine="640" w:firstLineChars="200"/>
        <w:jc w:val="both"/>
        <w:textAlignment w:val="auto"/>
        <w:outlineLvl w:val="9"/>
        <w:rPr>
          <w:rFonts w:hint="eastAsia" w:ascii="方正仿宋_GBK" w:hAnsi="方正仿宋_GBK" w:eastAsia="方正仿宋_GBK" w:cs="方正仿宋_GBK"/>
          <w:color w:val="auto"/>
          <w:sz w:val="32"/>
          <w:highlight w:val="none"/>
          <w:lang w:val="en-US" w:eastAsia="zh-CN"/>
        </w:rPr>
      </w:pPr>
      <w:r>
        <w:rPr>
          <w:rFonts w:hint="eastAsia" w:ascii="方正仿宋_GBK" w:hAnsi="方正仿宋_GBK" w:eastAsia="方正仿宋_GBK" w:cs="方正仿宋_GBK"/>
          <w:color w:val="auto"/>
          <w:sz w:val="32"/>
          <w:lang w:val="en-US" w:eastAsia="zh-CN"/>
        </w:rPr>
        <w:t>2024年度支持开拓国际市场及</w:t>
      </w:r>
      <w:r>
        <w:rPr>
          <w:rFonts w:hint="eastAsia" w:ascii="方正仿宋_GBK" w:hAnsi="方正仿宋_GBK" w:eastAsia="方正仿宋_GBK" w:cs="方正仿宋_GBK"/>
          <w:color w:val="auto"/>
          <w:sz w:val="32"/>
          <w:lang w:eastAsia="zh-CN"/>
        </w:rPr>
        <w:t>提升国际化经营能力项目时间：</w:t>
      </w:r>
      <w:r>
        <w:rPr>
          <w:rFonts w:hint="eastAsia" w:ascii="方正仿宋_GBK" w:hAnsi="方正仿宋_GBK" w:eastAsia="方正仿宋_GBK" w:cs="方正仿宋_GBK"/>
          <w:color w:val="auto"/>
          <w:sz w:val="32"/>
          <w:lang w:val="en-US" w:eastAsia="zh-CN"/>
        </w:rPr>
        <w:t>2023年7月1日至2024年6月30日期间</w:t>
      </w:r>
      <w:r>
        <w:rPr>
          <w:rFonts w:hint="eastAsia" w:ascii="方正仿宋_GBK" w:hAnsi="方正仿宋_GBK" w:eastAsia="方正仿宋_GBK" w:cs="方正仿宋_GBK"/>
          <w:color w:val="auto"/>
          <w:sz w:val="32"/>
          <w:lang w:eastAsia="zh-CN"/>
        </w:rPr>
        <w:t>实施完成的项目。申报单位</w:t>
      </w:r>
      <w:r>
        <w:rPr>
          <w:rFonts w:hint="eastAsia" w:ascii="方正仿宋_GBK" w:hAnsi="方正仿宋_GBK" w:eastAsia="方正仿宋_GBK" w:cs="方正仿宋_GBK"/>
          <w:color w:val="auto"/>
          <w:sz w:val="32"/>
          <w:highlight w:val="none"/>
          <w:lang w:eastAsia="zh-CN"/>
        </w:rPr>
        <w:t>须在</w:t>
      </w:r>
      <w:r>
        <w:rPr>
          <w:rFonts w:hint="eastAsia" w:ascii="方正仿宋_GBK" w:hAnsi="方正仿宋_GBK" w:eastAsia="方正仿宋_GBK" w:cs="方正仿宋_GBK"/>
          <w:color w:val="auto"/>
          <w:sz w:val="32"/>
          <w:highlight w:val="none"/>
          <w:lang w:val="en-US" w:eastAsia="zh-CN"/>
        </w:rPr>
        <w:t>2024年9月16日前在网上申报并提交资金申请材料。资金申请单位在规定时间内不上网填报并递交项目申报材料的，省商务厅将不再受理，后果由资金申请单位自负。</w:t>
      </w:r>
    </w:p>
    <w:p w14:paraId="573BD430">
      <w:pPr>
        <w:keepNext w:val="0"/>
        <w:keepLines w:val="0"/>
        <w:pageBreakBefore w:val="0"/>
        <w:widowControl w:val="0"/>
        <w:numPr>
          <w:ilvl w:val="0"/>
          <w:numId w:val="0"/>
        </w:numPr>
        <w:kinsoku/>
        <w:wordWrap/>
        <w:overflowPunct/>
        <w:topLinePunct w:val="0"/>
        <w:autoSpaceDE/>
        <w:bidi w:val="0"/>
        <w:adjustRightInd/>
        <w:snapToGrid/>
        <w:spacing w:before="0" w:beforeLines="0" w:beforeAutospacing="0" w:after="0" w:afterLines="0" w:afterAutospacing="0" w:line="600" w:lineRule="exact"/>
        <w:ind w:right="0" w:rightChars="0" w:firstLine="640" w:firstLineChars="200"/>
        <w:jc w:val="left"/>
        <w:outlineLvl w:val="9"/>
        <w:rPr>
          <w:rFonts w:hint="eastAsia" w:ascii="方正黑体_GBK" w:hAnsi="方正黑体_GBK" w:eastAsia="方正黑体_GBK" w:cs="方正黑体_GBK"/>
          <w:color w:val="auto"/>
          <w:sz w:val="32"/>
          <w:lang w:val="en-US" w:eastAsia="zh-CN"/>
        </w:rPr>
      </w:pPr>
      <w:r>
        <w:rPr>
          <w:rFonts w:hint="eastAsia" w:ascii="方正黑体_GBK" w:hAnsi="方正黑体_GBK" w:eastAsia="方正黑体_GBK" w:cs="方正黑体_GBK"/>
          <w:b w:val="0"/>
          <w:bCs/>
          <w:color w:val="auto"/>
          <w:sz w:val="32"/>
          <w:lang w:val="en-US" w:eastAsia="zh-CN"/>
        </w:rPr>
        <w:t>四、项目审核及资金拨付</w:t>
      </w:r>
    </w:p>
    <w:p w14:paraId="7819D91B">
      <w:pPr>
        <w:keepNext w:val="0"/>
        <w:keepLines w:val="0"/>
        <w:pageBreakBefore w:val="0"/>
        <w:widowControl w:val="0"/>
        <w:shd w:val="solid" w:color="FFFFFF" w:fill="auto"/>
        <w:kinsoku/>
        <w:wordWrap/>
        <w:overflowPunct/>
        <w:topLinePunct w:val="0"/>
        <w:autoSpaceDE/>
        <w:autoSpaceDN w:val="0"/>
        <w:bidi w:val="0"/>
        <w:adjustRightInd/>
        <w:snapToGrid/>
        <w:spacing w:before="0" w:beforeLines="0" w:beforeAutospacing="0" w:after="0" w:afterLines="0" w:afterAutospacing="0" w:line="600" w:lineRule="exact"/>
        <w:ind w:left="0" w:leftChars="0" w:right="0" w:rightChars="0" w:firstLine="640" w:firstLineChars="200"/>
        <w:jc w:val="both"/>
        <w:outlineLvl w:val="9"/>
        <w:rPr>
          <w:rFonts w:hint="eastAsia" w:ascii="方正仿宋_GBK" w:hAnsi="方正仿宋_GBK" w:eastAsia="方正仿宋_GBK" w:cs="方正仿宋_GBK"/>
          <w:color w:val="auto"/>
          <w:sz w:val="32"/>
          <w:lang w:val="en-US" w:eastAsia="zh-CN"/>
        </w:rPr>
      </w:pPr>
      <w:r>
        <w:rPr>
          <w:rFonts w:hint="eastAsia" w:ascii="方正仿宋_GBK" w:hAnsi="方正仿宋_GBK" w:eastAsia="方正仿宋_GBK" w:cs="方正仿宋_GBK"/>
          <w:color w:val="auto"/>
          <w:sz w:val="32"/>
          <w:lang w:val="en-US" w:eastAsia="zh-CN"/>
        </w:rPr>
        <w:t>市县商务主管部门受理当地企业递交的项目材料，出具初审意见并于2024年9月29日前将初审通过的资金申请材料上报省商务厅。如市县商务部门未在规定时间内报送初审材料，省商务厅将不再受理，后果由市县商务主管部门负责。</w:t>
      </w:r>
    </w:p>
    <w:p w14:paraId="324DDFFD">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600" w:lineRule="exact"/>
        <w:ind w:left="0" w:leftChars="0" w:right="0" w:rightChars="0" w:firstLine="640" w:firstLineChars="200"/>
        <w:jc w:val="both"/>
        <w:textAlignment w:val="baseline"/>
        <w:outlineLvl w:val="9"/>
        <w:rPr>
          <w:rFonts w:hint="eastAsia" w:ascii="仿宋_GB2312" w:hAnsi="仿宋_GB2312" w:eastAsia="仿宋_GB2312"/>
          <w:color w:val="auto"/>
          <w:sz w:val="32"/>
          <w:lang w:val="en-US" w:eastAsia="zh-CN"/>
        </w:rPr>
      </w:pPr>
      <w:r>
        <w:rPr>
          <w:rFonts w:hint="eastAsia" w:ascii="方正仿宋_GBK" w:hAnsi="方正仿宋_GBK" w:eastAsia="方正仿宋_GBK" w:cs="方正仿宋_GBK"/>
          <w:color w:val="auto"/>
          <w:sz w:val="32"/>
          <w:lang w:val="en-US" w:eastAsia="zh-CN"/>
        </w:rPr>
        <w:t>省商务厅负责委托第三方机构对省级项目及经各市县（区）初审后上报的项目进行审核，核定支持金额后</w:t>
      </w:r>
      <w:r>
        <w:rPr>
          <w:rFonts w:hint="eastAsia" w:ascii="方正仿宋_GBK" w:hAnsi="方正仿宋_GBK" w:eastAsia="方正仿宋_GBK" w:cs="方正仿宋_GBK"/>
          <w:b w:val="0"/>
          <w:bCs w:val="0"/>
          <w:color w:val="auto"/>
          <w:sz w:val="32"/>
          <w:szCs w:val="32"/>
          <w:lang w:val="en-US" w:eastAsia="zh-CN"/>
        </w:rPr>
        <w:t xml:space="preserve">拨付支持金额至项目单位。  </w:t>
      </w:r>
      <w:r>
        <w:rPr>
          <w:rFonts w:hint="eastAsia" w:ascii="仿宋_GB2312" w:hAnsi="仿宋_GB2312" w:eastAsia="仿宋_GB2312" w:cs="仿宋_GB2312"/>
          <w:b w:val="0"/>
          <w:bCs w:val="0"/>
          <w:color w:val="auto"/>
          <w:sz w:val="32"/>
          <w:szCs w:val="32"/>
          <w:lang w:val="en-US" w:eastAsia="zh-CN"/>
        </w:rPr>
        <w:t xml:space="preserve"> </w:t>
      </w:r>
    </w:p>
    <w:p w14:paraId="2BA953E9">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600" w:lineRule="exact"/>
        <w:ind w:left="0" w:leftChars="0" w:right="0" w:rightChars="0" w:firstLine="640" w:firstLineChars="200"/>
        <w:jc w:val="left"/>
        <w:textAlignment w:val="baseline"/>
        <w:outlineLvl w:val="9"/>
        <w:rPr>
          <w:rFonts w:hint="eastAsia" w:ascii="方正黑体_GBK" w:hAnsi="方正黑体_GBK" w:eastAsia="方正黑体_GBK" w:cs="方正黑体_GBK"/>
          <w:b w:val="0"/>
          <w:bCs/>
          <w:color w:val="auto"/>
          <w:sz w:val="32"/>
          <w:lang w:val="en-US" w:eastAsia="zh-CN"/>
        </w:rPr>
      </w:pPr>
      <w:r>
        <w:rPr>
          <w:rFonts w:hint="eastAsia" w:ascii="方正黑体_GBK" w:hAnsi="方正黑体_GBK" w:eastAsia="方正黑体_GBK" w:cs="方正黑体_GBK"/>
          <w:b w:val="0"/>
          <w:bCs/>
          <w:color w:val="auto"/>
          <w:sz w:val="32"/>
          <w:lang w:val="en-US" w:eastAsia="zh-CN"/>
        </w:rPr>
        <w:t>五、资金支持项目内容</w:t>
      </w:r>
    </w:p>
    <w:p w14:paraId="6E089A41">
      <w:pPr>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left="0" w:leftChars="0" w:right="0" w:rightChars="0" w:firstLine="640" w:firstLineChars="200"/>
        <w:jc w:val="both"/>
        <w:textAlignment w:val="auto"/>
        <w:outlineLvl w:val="9"/>
        <w:rPr>
          <w:rFonts w:hint="eastAsia" w:ascii="方正楷体_GBK" w:hAnsi="方正楷体_GBK" w:eastAsia="方正楷体_GBK" w:cs="方正楷体_GBK"/>
          <w:b w:val="0"/>
          <w:bCs/>
          <w:color w:val="auto"/>
          <w:sz w:val="32"/>
          <w:szCs w:val="24"/>
          <w:lang w:val="en-US" w:eastAsia="zh-CN"/>
        </w:rPr>
      </w:pPr>
      <w:r>
        <w:rPr>
          <w:rFonts w:hint="eastAsia" w:ascii="方正楷体_GBK" w:hAnsi="方正楷体_GBK" w:eastAsia="方正楷体_GBK" w:cs="方正楷体_GBK"/>
          <w:b w:val="0"/>
          <w:bCs/>
          <w:color w:val="auto"/>
          <w:sz w:val="32"/>
          <w:szCs w:val="24"/>
          <w:lang w:val="en-US" w:eastAsia="zh-CN"/>
        </w:rPr>
        <w:t>（一）支持外贸企业开拓国际市场。</w:t>
      </w:r>
    </w:p>
    <w:p w14:paraId="4F3C2858">
      <w:pPr>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left="0" w:leftChars="0" w:right="0" w:rightChars="0" w:firstLine="640" w:firstLineChars="200"/>
        <w:jc w:val="both"/>
        <w:textAlignment w:val="auto"/>
        <w:outlineLvl w:val="9"/>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1.境外专利申请、资质认证项目。</w:t>
      </w:r>
    </w:p>
    <w:p w14:paraId="45B6762B">
      <w:pPr>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left="0" w:leftChars="0" w:right="0" w:rightChars="0" w:firstLine="640" w:firstLineChars="200"/>
        <w:jc w:val="both"/>
        <w:textAlignment w:val="auto"/>
        <w:outlineLvl w:val="9"/>
        <w:rPr>
          <w:rFonts w:hint="eastAsia" w:ascii="方正仿宋_GBK" w:hAnsi="方正仿宋_GBK" w:eastAsia="方正仿宋_GBK" w:cs="方正仿宋_GBK"/>
          <w:color w:val="auto"/>
          <w:sz w:val="32"/>
          <w:lang w:val="en-US" w:eastAsia="zh-CN"/>
        </w:rPr>
      </w:pPr>
      <w:r>
        <w:rPr>
          <w:rFonts w:hint="eastAsia" w:ascii="方正仿宋_GBK" w:hAnsi="方正仿宋_GBK" w:eastAsia="方正仿宋_GBK" w:cs="方正仿宋_GBK"/>
          <w:color w:val="auto"/>
          <w:sz w:val="32"/>
          <w:lang w:val="en-US" w:eastAsia="zh-CN"/>
        </w:rPr>
        <w:t>（1）境外专利申请。支持企业通过《保护工业产权巴黎公约》或PCT（专利合作协定）成员国提出的发明专利权、实用新型</w:t>
      </w:r>
      <w:r>
        <w:rPr>
          <w:rFonts w:hint="eastAsia" w:ascii="方正仿宋_GBK" w:hAnsi="方正仿宋_GBK" w:eastAsia="方正仿宋_GBK" w:cs="方正仿宋_GBK"/>
          <w:color w:val="auto"/>
          <w:sz w:val="32"/>
          <w:highlight w:val="none"/>
          <w:lang w:val="en-US" w:eastAsia="zh-CN"/>
        </w:rPr>
        <w:t>专利</w:t>
      </w:r>
      <w:r>
        <w:rPr>
          <w:rFonts w:hint="eastAsia" w:ascii="方正仿宋_GBK" w:hAnsi="方正仿宋_GBK" w:eastAsia="方正仿宋_GBK" w:cs="方正仿宋_GBK"/>
          <w:color w:val="auto"/>
          <w:sz w:val="32"/>
          <w:lang w:val="en-US" w:eastAsia="zh-CN"/>
        </w:rPr>
        <w:t>、工业品外观设计专利等，支持专利申请过程中发生的咨询费、律师费、申请费等相关费用。按不超过实际发生费用的70%予以支持，单个项目最高不超过12万元。</w:t>
      </w:r>
    </w:p>
    <w:p w14:paraId="43D2EF01">
      <w:pPr>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left="0" w:leftChars="0" w:right="0" w:rightChars="0" w:firstLine="640" w:firstLineChars="200"/>
        <w:jc w:val="both"/>
        <w:textAlignment w:val="auto"/>
        <w:outlineLvl w:val="9"/>
        <w:rPr>
          <w:rFonts w:hint="eastAsia" w:ascii="方正仿宋_GBK" w:hAnsi="方正仿宋_GBK" w:eastAsia="方正仿宋_GBK" w:cs="方正仿宋_GBK"/>
          <w:color w:val="auto"/>
          <w:sz w:val="32"/>
          <w:lang w:val="en-US" w:eastAsia="zh-CN"/>
        </w:rPr>
      </w:pPr>
      <w:r>
        <w:rPr>
          <w:rFonts w:hint="eastAsia" w:ascii="方正仿宋_GBK" w:hAnsi="方正仿宋_GBK" w:eastAsia="方正仿宋_GBK" w:cs="方正仿宋_GBK"/>
          <w:color w:val="auto"/>
          <w:sz w:val="32"/>
          <w:lang w:val="en-US" w:eastAsia="zh-CN"/>
        </w:rPr>
        <w:t>（2）资质认证。支持企业开展国际化标准组织有关资质认证、管理体系认证（不含ISO系列）、产品认证（产品认证项目仅支持生产厂家在海南的项目）、目标国家或地区产品进口资质认证，发生的认证费、咨询培训费、审核费用、产品检验检测费等支出。按不超过实际发生费用的70%予以支持，其中支持汽车产品认证单个项目最高不超过30万元；软件生产能力成熟模型认证（CMM）单个项目最高不超过50万元，其他产品认证单个项目最高不超过7万元。</w:t>
      </w:r>
    </w:p>
    <w:p w14:paraId="7FCE8F7A">
      <w:pPr>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left="0" w:leftChars="0" w:right="0" w:rightChars="0" w:firstLine="640" w:firstLineChars="200"/>
        <w:jc w:val="both"/>
        <w:textAlignment w:val="auto"/>
        <w:outlineLvl w:val="9"/>
        <w:rPr>
          <w:rFonts w:hint="eastAsia" w:ascii="方正仿宋_GBK" w:hAnsi="方正仿宋_GBK" w:eastAsia="方正仿宋_GBK" w:cs="方正仿宋_GBK"/>
          <w:b w:val="0"/>
          <w:bCs w:val="0"/>
          <w:color w:val="auto"/>
          <w:sz w:val="32"/>
          <w:lang w:val="en-US" w:eastAsia="zh-CN"/>
        </w:rPr>
      </w:pPr>
      <w:r>
        <w:rPr>
          <w:rFonts w:hint="eastAsia" w:ascii="方正仿宋_GBK" w:hAnsi="方正仿宋_GBK" w:eastAsia="方正仿宋_GBK" w:cs="方正仿宋_GBK"/>
          <w:b w:val="0"/>
          <w:bCs w:val="0"/>
          <w:color w:val="auto"/>
          <w:sz w:val="32"/>
          <w:lang w:val="en-US" w:eastAsia="zh-CN"/>
        </w:rPr>
        <w:t>2.境外展会项目。</w:t>
      </w:r>
    </w:p>
    <w:p w14:paraId="619F9BD7">
      <w:pPr>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left="0" w:leftChars="0" w:right="0" w:rightChars="0" w:firstLine="640" w:firstLineChars="200"/>
        <w:jc w:val="both"/>
        <w:textAlignment w:val="auto"/>
        <w:outlineLvl w:val="9"/>
        <w:rPr>
          <w:rFonts w:hint="eastAsia" w:ascii="方正仿宋_GBK" w:hAnsi="方正仿宋_GBK" w:eastAsia="方正仿宋_GBK" w:cs="方正仿宋_GBK"/>
          <w:color w:val="auto"/>
          <w:sz w:val="32"/>
          <w:lang w:val="en-US" w:eastAsia="zh-CN"/>
        </w:rPr>
      </w:pPr>
      <w:r>
        <w:rPr>
          <w:rFonts w:hint="eastAsia" w:ascii="方正仿宋_GBK" w:hAnsi="方正仿宋_GBK" w:eastAsia="方正仿宋_GBK" w:cs="方正仿宋_GBK"/>
          <w:color w:val="auto"/>
          <w:sz w:val="32"/>
          <w:lang w:val="en-US" w:eastAsia="zh-CN"/>
        </w:rPr>
        <w:t>（1）境外参展团组项目。支持展位费、布展费、展品运费（不含行李托运费、超重费）、场地租赁费、参展企业人员国际旅费(经济舱，含国际联程票中的国内段）、伙食费、住宿费、公杂费、其他费用（出国签证费、必需的保险费用）。企业参展每个标准展位的展位费、布展费分别按不超过实际发生费用的70%予以支持，最高均不超过5万元。每个企业支持不超过3个标准展位；展品运费、场地租赁费和国际旅费、住宿费按不超过实际发生费用的70%予以支持，住宿费最高不超过因公出国境相关费用标准；伙食费及公杂费参照因公出国境相关费用标准的50%予以支持。每个企业支持人数1个展位不超过2人，2个以上展位不超过3人。补助天数按离、抵我国境之日计算。出访3个国家不超过10天，2个国家不超过8天，1个国家不超过5天。赴拉美、非洲航班衔接不便的国家的团组，出访2个国家不超过9天，出访1个国家不超过5天。同时，每个团组参团企业应不低于7家，每个展会参展时间不得少于3天，每个参团企业均应参展，所订标准展位（9㎡）数须达到参团企业数60%以上（含合租展位）。</w:t>
      </w:r>
    </w:p>
    <w:p w14:paraId="6458770D">
      <w:pPr>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left="0" w:leftChars="0" w:right="0" w:rightChars="0" w:firstLine="640" w:firstLineChars="200"/>
        <w:jc w:val="both"/>
        <w:textAlignment w:val="auto"/>
        <w:outlineLvl w:val="9"/>
        <w:rPr>
          <w:rFonts w:hint="eastAsia" w:ascii="方正仿宋_GBK" w:hAnsi="方正仿宋_GBK" w:eastAsia="方正仿宋_GBK" w:cs="方正仿宋_GBK"/>
          <w:color w:val="auto"/>
          <w:sz w:val="32"/>
          <w:lang w:val="en-US" w:eastAsia="zh-CN"/>
        </w:rPr>
      </w:pPr>
      <w:r>
        <w:rPr>
          <w:rFonts w:hint="eastAsia" w:ascii="方正仿宋_GBK" w:hAnsi="方正仿宋_GBK" w:eastAsia="方正仿宋_GBK" w:cs="方正仿宋_GBK"/>
          <w:color w:val="auto"/>
          <w:sz w:val="32"/>
          <w:lang w:val="en-US" w:eastAsia="zh-CN"/>
        </w:rPr>
        <w:t>企业参加商务部、省政府或省商务厅组织的国（境）外特定经贸展（会）项目支持内容和支持标准参照境外参展团组项目执行。无参展的境外经贸推介活动开展网上申报时选择“宣传推介项目”进行申报。</w:t>
      </w:r>
    </w:p>
    <w:p w14:paraId="46266178">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600" w:lineRule="exact"/>
        <w:ind w:left="0" w:leftChars="0" w:right="0" w:rightChars="0" w:firstLine="640" w:firstLineChars="200"/>
        <w:jc w:val="both"/>
        <w:textAlignment w:val="auto"/>
        <w:outlineLvl w:val="9"/>
        <w:rPr>
          <w:rFonts w:hint="eastAsia" w:ascii="方正仿宋_GBK" w:hAnsi="方正仿宋_GBK" w:eastAsia="方正仿宋_GBK" w:cs="方正仿宋_GBK"/>
          <w:color w:val="auto"/>
          <w:sz w:val="32"/>
          <w:lang w:val="en-US" w:eastAsia="zh-CN"/>
        </w:rPr>
      </w:pPr>
      <w:r>
        <w:rPr>
          <w:rFonts w:hint="eastAsia" w:ascii="方正仿宋_GBK" w:hAnsi="方正仿宋_GBK" w:eastAsia="方正仿宋_GBK" w:cs="方正仿宋_GBK"/>
          <w:color w:val="auto"/>
          <w:sz w:val="32"/>
          <w:lang w:val="en-US" w:eastAsia="zh-CN"/>
        </w:rPr>
        <w:t>（2）单个企业参展项目。支持展位费、布展费、展品运费（不含行李托运费、超重费）、参展企业人员国际旅费(经济舱，含国际联程票中的国内段）、住宿费、伙食费、公杂费、其他费用（出国签证费、必需的保险费用），支持标准参照境外参展团组标准，每个展会支持天数不超过5天，每个企业支持人数1个展位不超过2人，2个以上展位不超过3人。每个企业每个申报年度最高支持不超过5个展会。</w:t>
      </w:r>
    </w:p>
    <w:p w14:paraId="20311042">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600" w:lineRule="exact"/>
        <w:ind w:left="0" w:leftChars="0" w:right="0" w:rightChars="0" w:firstLine="640" w:firstLineChars="200"/>
        <w:jc w:val="both"/>
        <w:textAlignment w:val="auto"/>
        <w:outlineLvl w:val="9"/>
        <w:rPr>
          <w:rFonts w:hint="eastAsia" w:ascii="方正仿宋_GBK" w:hAnsi="方正仿宋_GBK" w:eastAsia="方正仿宋_GBK" w:cs="方正仿宋_GBK"/>
          <w:color w:val="auto"/>
          <w:sz w:val="32"/>
          <w:lang w:val="en-US" w:eastAsia="zh-CN"/>
        </w:rPr>
      </w:pPr>
      <w:r>
        <w:rPr>
          <w:rFonts w:hint="eastAsia" w:ascii="方正仿宋_GBK" w:hAnsi="方正仿宋_GBK" w:eastAsia="方正仿宋_GBK" w:cs="方正仿宋_GBK"/>
          <w:color w:val="auto"/>
          <w:sz w:val="32"/>
          <w:lang w:val="en-US" w:eastAsia="zh-CN"/>
        </w:rPr>
        <w:t>（3）企业赴境外自主办展（会）项目。根据企业上年底提出</w:t>
      </w:r>
      <w:r>
        <w:rPr>
          <w:rFonts w:hint="eastAsia" w:ascii="方正仿宋_GBK" w:hAnsi="方正仿宋_GBK" w:eastAsia="方正仿宋_GBK" w:cs="方正仿宋_GBK"/>
          <w:color w:val="auto"/>
          <w:sz w:val="32"/>
          <w:highlight w:val="none"/>
          <w:lang w:val="en-US" w:eastAsia="zh-CN"/>
        </w:rPr>
        <w:t>并经省商务主管部门同意</w:t>
      </w:r>
      <w:r>
        <w:rPr>
          <w:rFonts w:hint="eastAsia" w:ascii="方正仿宋_GBK" w:hAnsi="方正仿宋_GBK" w:eastAsia="方正仿宋_GBK" w:cs="方正仿宋_GBK"/>
          <w:color w:val="auto"/>
          <w:sz w:val="32"/>
          <w:lang w:val="en-US" w:eastAsia="zh-CN"/>
        </w:rPr>
        <w:t>的境外自主办展（会）项目计划申请和项目方案，支持场地租赁费、布展费、展品运费（不含行李托运费、超重费）、办展企业人员国际旅费(经济舱，含国际联程票中的国内段）、其他费用（出国签证费、必需的保险费用），按不超过实际发生费用的70%予以支持。住宿费、伙食费、公杂费参照境外参展团组项目标准予以支持。支持人数不超过3人，每个企业每个申报年度支持境外自主办展项目不超过3个。</w:t>
      </w:r>
    </w:p>
    <w:p w14:paraId="3C4C99C5">
      <w:pPr>
        <w:keepNext w:val="0"/>
        <w:keepLines w:val="0"/>
        <w:pageBreakBefore w:val="0"/>
        <w:widowControl w:val="0"/>
        <w:numPr>
          <w:ilvl w:val="0"/>
          <w:numId w:val="0"/>
        </w:numPr>
        <w:kinsoku/>
        <w:wordWrap/>
        <w:overflowPunct/>
        <w:topLinePunct w:val="0"/>
        <w:autoSpaceDE/>
        <w:bidi w:val="0"/>
        <w:adjustRightInd/>
        <w:snapToGrid/>
        <w:spacing w:before="0" w:beforeLines="0" w:after="0" w:afterLines="0" w:line="600" w:lineRule="exact"/>
        <w:ind w:right="0" w:rightChars="0" w:firstLine="640" w:firstLineChars="200"/>
        <w:jc w:val="both"/>
        <w:outlineLvl w:val="9"/>
        <w:rPr>
          <w:rFonts w:hint="eastAsia" w:ascii="方正仿宋_GBK" w:hAnsi="方正仿宋_GBK" w:eastAsia="方正仿宋_GBK" w:cs="方正仿宋_GBK"/>
          <w:color w:val="auto"/>
          <w:sz w:val="32"/>
          <w:lang w:val="en-US" w:eastAsia="zh-CN"/>
        </w:rPr>
      </w:pPr>
      <w:r>
        <w:rPr>
          <w:rFonts w:hint="eastAsia" w:ascii="方正仿宋_GBK" w:hAnsi="方正仿宋_GBK" w:eastAsia="方正仿宋_GBK" w:cs="方正仿宋_GBK"/>
          <w:color w:val="auto"/>
          <w:sz w:val="32"/>
          <w:lang w:val="en-US" w:eastAsia="zh-CN"/>
        </w:rPr>
        <w:t>上述每个项目补助额度最高不超过70万元。</w:t>
      </w:r>
    </w:p>
    <w:p w14:paraId="044C09B2">
      <w:pPr>
        <w:keepNext w:val="0"/>
        <w:keepLines w:val="0"/>
        <w:pageBreakBefore w:val="0"/>
        <w:widowControl w:val="0"/>
        <w:numPr>
          <w:ilvl w:val="0"/>
          <w:numId w:val="0"/>
        </w:numPr>
        <w:kinsoku/>
        <w:wordWrap/>
        <w:overflowPunct/>
        <w:topLinePunct w:val="0"/>
        <w:autoSpaceDE/>
        <w:bidi w:val="0"/>
        <w:adjustRightInd/>
        <w:snapToGrid/>
        <w:spacing w:before="0" w:beforeLines="0" w:after="0" w:afterLines="0" w:line="600" w:lineRule="exact"/>
        <w:ind w:left="0" w:leftChars="0" w:right="0" w:rightChars="0" w:firstLine="640" w:firstLineChars="200"/>
        <w:jc w:val="left"/>
        <w:outlineLvl w:val="9"/>
        <w:rPr>
          <w:rFonts w:hint="eastAsia" w:ascii="方正楷体_GBK" w:hAnsi="方正楷体_GBK" w:eastAsia="方正楷体_GBK" w:cs="方正楷体_GBK"/>
          <w:b w:val="0"/>
          <w:bCs/>
          <w:color w:val="auto"/>
          <w:sz w:val="32"/>
          <w:szCs w:val="24"/>
          <w:lang w:val="en-US" w:eastAsia="zh-CN"/>
        </w:rPr>
      </w:pPr>
      <w:r>
        <w:rPr>
          <w:rFonts w:hint="eastAsia" w:ascii="方正楷体_GBK" w:hAnsi="方正楷体_GBK" w:eastAsia="方正楷体_GBK" w:cs="方正楷体_GBK"/>
          <w:b w:val="0"/>
          <w:bCs/>
          <w:color w:val="auto"/>
          <w:sz w:val="32"/>
          <w:szCs w:val="24"/>
          <w:lang w:val="en-US" w:eastAsia="zh-CN"/>
        </w:rPr>
        <w:t>（二）支持外贸企业提升国际化经营能力。</w:t>
      </w:r>
    </w:p>
    <w:p w14:paraId="2646DC4B">
      <w:pPr>
        <w:keepNext w:val="0"/>
        <w:keepLines w:val="0"/>
        <w:pageBreakBefore w:val="0"/>
        <w:widowControl w:val="0"/>
        <w:numPr>
          <w:ilvl w:val="0"/>
          <w:numId w:val="0"/>
        </w:numPr>
        <w:kinsoku/>
        <w:wordWrap/>
        <w:overflowPunct/>
        <w:topLinePunct w:val="0"/>
        <w:autoSpaceDE/>
        <w:bidi w:val="0"/>
        <w:adjustRightInd/>
        <w:snapToGrid/>
        <w:spacing w:before="0" w:beforeLines="0" w:after="0" w:afterLines="0" w:line="600" w:lineRule="exact"/>
        <w:ind w:left="0" w:leftChars="0" w:right="0" w:rightChars="0" w:firstLine="640" w:firstLineChars="200"/>
        <w:jc w:val="both"/>
        <w:outlineLvl w:val="9"/>
        <w:rPr>
          <w:rFonts w:hint="eastAsia" w:ascii="方正仿宋_GBK" w:hAnsi="方正仿宋_GBK" w:eastAsia="方正仿宋_GBK" w:cs="方正仿宋_GBK"/>
          <w:color w:val="auto"/>
          <w:sz w:val="32"/>
          <w:lang w:val="en-US" w:eastAsia="zh-CN"/>
        </w:rPr>
      </w:pPr>
      <w:r>
        <w:rPr>
          <w:rFonts w:hint="eastAsia" w:ascii="方正仿宋_GBK" w:hAnsi="方正仿宋_GBK" w:eastAsia="方正仿宋_GBK" w:cs="方正仿宋_GBK"/>
          <w:b w:val="0"/>
          <w:bCs w:val="0"/>
          <w:color w:val="auto"/>
          <w:sz w:val="32"/>
          <w:lang w:val="en-US" w:eastAsia="zh-CN"/>
        </w:rPr>
        <w:t>1.支持中小外贸企业提高经营管理信息化水平。</w:t>
      </w:r>
      <w:r>
        <w:rPr>
          <w:rFonts w:hint="eastAsia" w:ascii="方正仿宋_GBK" w:hAnsi="方正仿宋_GBK" w:eastAsia="方正仿宋_GBK" w:cs="方正仿宋_GBK"/>
          <w:color w:val="auto"/>
          <w:sz w:val="32"/>
          <w:lang w:val="en-US" w:eastAsia="zh-CN"/>
        </w:rPr>
        <w:t>对中小外贸企业利用“信保通”系统开展保单管理、企业资信调查、海外风险信息查询以及业务数据分析等业务，所产生的相关费用予以支持。</w:t>
      </w:r>
    </w:p>
    <w:p w14:paraId="281EDC4E">
      <w:pPr>
        <w:keepNext w:val="0"/>
        <w:keepLines w:val="0"/>
        <w:pageBreakBefore w:val="0"/>
        <w:widowControl w:val="0"/>
        <w:numPr>
          <w:ilvl w:val="0"/>
          <w:numId w:val="0"/>
        </w:numPr>
        <w:kinsoku/>
        <w:wordWrap/>
        <w:overflowPunct/>
        <w:topLinePunct w:val="0"/>
        <w:autoSpaceDE/>
        <w:bidi w:val="0"/>
        <w:adjustRightInd/>
        <w:snapToGrid/>
        <w:spacing w:before="0" w:beforeLines="0" w:after="0" w:afterLines="0" w:line="600" w:lineRule="exact"/>
        <w:ind w:right="0" w:rightChars="0" w:firstLine="640" w:firstLineChars="200"/>
        <w:jc w:val="both"/>
        <w:outlineLvl w:val="9"/>
        <w:rPr>
          <w:rFonts w:hint="eastAsia" w:ascii="方正仿宋_GBK" w:hAnsi="方正仿宋_GBK" w:eastAsia="方正仿宋_GBK" w:cs="方正仿宋_GBK"/>
          <w:color w:val="auto"/>
          <w:sz w:val="32"/>
          <w:lang w:val="en-US" w:eastAsia="zh-CN"/>
        </w:rPr>
      </w:pPr>
      <w:r>
        <w:rPr>
          <w:rFonts w:hint="eastAsia" w:ascii="方正仿宋_GBK" w:hAnsi="方正仿宋_GBK" w:eastAsia="方正仿宋_GBK" w:cs="方正仿宋_GBK"/>
          <w:b w:val="0"/>
          <w:bCs w:val="0"/>
          <w:color w:val="auto"/>
          <w:sz w:val="32"/>
          <w:lang w:val="en-US" w:eastAsia="zh-CN"/>
        </w:rPr>
        <w:t>2.支持中小外贸企业提高经营管理科学决策水平。</w:t>
      </w:r>
      <w:r>
        <w:rPr>
          <w:rFonts w:hint="eastAsia" w:ascii="方正仿宋_GBK" w:hAnsi="方正仿宋_GBK" w:eastAsia="方正仿宋_GBK" w:cs="方正仿宋_GBK"/>
          <w:color w:val="auto"/>
          <w:sz w:val="32"/>
          <w:lang w:val="en-US" w:eastAsia="zh-CN"/>
        </w:rPr>
        <w:t>对中小外贸企业购买的以下信息服务报告所产生的费用予以支持，支持标准按《使用细则》规定执行：</w:t>
      </w:r>
    </w:p>
    <w:p w14:paraId="22910316">
      <w:pPr>
        <w:keepNext w:val="0"/>
        <w:keepLines w:val="0"/>
        <w:pageBreakBefore w:val="0"/>
        <w:widowControl w:val="0"/>
        <w:numPr>
          <w:ilvl w:val="0"/>
          <w:numId w:val="0"/>
        </w:numPr>
        <w:kinsoku/>
        <w:wordWrap/>
        <w:overflowPunct/>
        <w:topLinePunct w:val="0"/>
        <w:autoSpaceDE/>
        <w:bidi w:val="0"/>
        <w:adjustRightInd/>
        <w:snapToGrid/>
        <w:spacing w:before="0" w:beforeLines="0" w:after="0" w:afterLines="0" w:line="600" w:lineRule="exact"/>
        <w:ind w:right="0" w:rightChars="0" w:firstLine="640" w:firstLineChars="200"/>
        <w:jc w:val="both"/>
        <w:outlineLvl w:val="9"/>
        <w:rPr>
          <w:rFonts w:hint="eastAsia" w:ascii="方正仿宋_GBK" w:hAnsi="方正仿宋_GBK" w:eastAsia="方正仿宋_GBK" w:cs="方正仿宋_GBK"/>
          <w:color w:val="auto"/>
          <w:sz w:val="32"/>
          <w:lang w:val="en-US" w:eastAsia="zh-CN"/>
        </w:rPr>
      </w:pPr>
      <w:r>
        <w:rPr>
          <w:rFonts w:hint="eastAsia" w:ascii="方正仿宋_GBK" w:hAnsi="方正仿宋_GBK" w:eastAsia="方正仿宋_GBK" w:cs="方正仿宋_GBK"/>
          <w:color w:val="auto"/>
          <w:sz w:val="32"/>
          <w:lang w:val="en-US" w:eastAsia="zh-CN"/>
        </w:rPr>
        <w:t>（1）海外企业标准资信报告；</w:t>
      </w:r>
    </w:p>
    <w:p w14:paraId="5E9BBF79">
      <w:pPr>
        <w:keepNext w:val="0"/>
        <w:keepLines w:val="0"/>
        <w:pageBreakBefore w:val="0"/>
        <w:widowControl w:val="0"/>
        <w:numPr>
          <w:ilvl w:val="0"/>
          <w:numId w:val="0"/>
        </w:numPr>
        <w:kinsoku/>
        <w:wordWrap/>
        <w:overflowPunct/>
        <w:topLinePunct w:val="0"/>
        <w:autoSpaceDE/>
        <w:bidi w:val="0"/>
        <w:adjustRightInd/>
        <w:snapToGrid/>
        <w:spacing w:before="0" w:beforeLines="0" w:after="0" w:afterLines="0" w:line="600" w:lineRule="exact"/>
        <w:ind w:right="0" w:rightChars="0" w:firstLine="640" w:firstLineChars="200"/>
        <w:jc w:val="left"/>
        <w:outlineLvl w:val="9"/>
        <w:rPr>
          <w:rFonts w:hint="eastAsia" w:ascii="方正仿宋_GBK" w:hAnsi="方正仿宋_GBK" w:eastAsia="方正仿宋_GBK" w:cs="方正仿宋_GBK"/>
          <w:color w:val="auto"/>
          <w:sz w:val="32"/>
          <w:lang w:val="en-US" w:eastAsia="zh-CN"/>
        </w:rPr>
      </w:pPr>
      <w:r>
        <w:rPr>
          <w:rFonts w:hint="eastAsia" w:ascii="方正仿宋_GBK" w:hAnsi="方正仿宋_GBK" w:eastAsia="方正仿宋_GBK" w:cs="方正仿宋_GBK"/>
          <w:color w:val="auto"/>
          <w:sz w:val="32"/>
          <w:lang w:val="en-US" w:eastAsia="zh-CN"/>
        </w:rPr>
        <w:t>（2）海外目标国家指定产品进口采购分析报告；</w:t>
      </w:r>
    </w:p>
    <w:p w14:paraId="1302C306">
      <w:pPr>
        <w:keepNext w:val="0"/>
        <w:keepLines w:val="0"/>
        <w:pageBreakBefore w:val="0"/>
        <w:widowControl w:val="0"/>
        <w:numPr>
          <w:ilvl w:val="0"/>
          <w:numId w:val="0"/>
        </w:numPr>
        <w:kinsoku/>
        <w:wordWrap/>
        <w:overflowPunct/>
        <w:topLinePunct w:val="0"/>
        <w:autoSpaceDE/>
        <w:bidi w:val="0"/>
        <w:adjustRightInd/>
        <w:snapToGrid/>
        <w:spacing w:before="0" w:beforeLines="0" w:after="0" w:afterLines="0" w:line="600" w:lineRule="exact"/>
        <w:ind w:right="0" w:rightChars="0" w:firstLine="640" w:firstLineChars="200"/>
        <w:jc w:val="left"/>
        <w:outlineLvl w:val="9"/>
        <w:rPr>
          <w:rFonts w:hint="eastAsia" w:ascii="方正仿宋_GBK" w:hAnsi="方正仿宋_GBK" w:eastAsia="方正仿宋_GBK" w:cs="方正仿宋_GBK"/>
          <w:color w:val="auto"/>
          <w:sz w:val="32"/>
          <w:lang w:val="en-US" w:eastAsia="zh-CN"/>
        </w:rPr>
      </w:pPr>
      <w:r>
        <w:rPr>
          <w:rFonts w:hint="eastAsia" w:ascii="方正仿宋_GBK" w:hAnsi="方正仿宋_GBK" w:eastAsia="方正仿宋_GBK" w:cs="方正仿宋_GBK"/>
          <w:color w:val="auto"/>
          <w:sz w:val="32"/>
          <w:lang w:val="en-US" w:eastAsia="zh-CN"/>
        </w:rPr>
        <w:t>（3）海外采购商/供货商名录报告；</w:t>
      </w:r>
    </w:p>
    <w:p w14:paraId="16ED9A56">
      <w:pPr>
        <w:keepNext w:val="0"/>
        <w:keepLines w:val="0"/>
        <w:pageBreakBefore w:val="0"/>
        <w:widowControl w:val="0"/>
        <w:numPr>
          <w:ilvl w:val="0"/>
          <w:numId w:val="0"/>
        </w:numPr>
        <w:kinsoku/>
        <w:wordWrap/>
        <w:overflowPunct/>
        <w:topLinePunct w:val="0"/>
        <w:autoSpaceDE/>
        <w:bidi w:val="0"/>
        <w:adjustRightInd/>
        <w:snapToGrid/>
        <w:spacing w:before="0" w:beforeLines="0" w:after="0" w:afterLines="0" w:line="600" w:lineRule="exact"/>
        <w:ind w:right="0" w:rightChars="0" w:firstLine="640" w:firstLineChars="200"/>
        <w:jc w:val="left"/>
        <w:outlineLvl w:val="9"/>
        <w:rPr>
          <w:rFonts w:hint="eastAsia" w:ascii="方正仿宋_GBK" w:hAnsi="方正仿宋_GBK" w:eastAsia="方正仿宋_GBK" w:cs="方正仿宋_GBK"/>
          <w:color w:val="auto"/>
          <w:sz w:val="32"/>
          <w:lang w:val="en-US" w:eastAsia="zh-CN"/>
        </w:rPr>
      </w:pPr>
      <w:r>
        <w:rPr>
          <w:rFonts w:hint="eastAsia" w:ascii="方正仿宋_GBK" w:hAnsi="方正仿宋_GBK" w:eastAsia="方正仿宋_GBK" w:cs="方正仿宋_GBK"/>
          <w:color w:val="auto"/>
          <w:sz w:val="32"/>
          <w:lang w:val="en-US" w:eastAsia="zh-CN"/>
        </w:rPr>
        <w:t>（4）重点行业研究报告；</w:t>
      </w:r>
    </w:p>
    <w:p w14:paraId="7A511EF2">
      <w:pPr>
        <w:keepNext w:val="0"/>
        <w:keepLines w:val="0"/>
        <w:pageBreakBefore w:val="0"/>
        <w:widowControl w:val="0"/>
        <w:numPr>
          <w:ilvl w:val="0"/>
          <w:numId w:val="0"/>
        </w:numPr>
        <w:kinsoku/>
        <w:wordWrap/>
        <w:overflowPunct/>
        <w:topLinePunct w:val="0"/>
        <w:autoSpaceDE/>
        <w:bidi w:val="0"/>
        <w:adjustRightInd/>
        <w:snapToGrid/>
        <w:spacing w:before="0" w:beforeLines="0" w:after="0" w:afterLines="0" w:line="600" w:lineRule="exact"/>
        <w:ind w:right="0" w:rightChars="0" w:firstLine="640" w:firstLineChars="200"/>
        <w:jc w:val="left"/>
        <w:outlineLvl w:val="9"/>
        <w:rPr>
          <w:rFonts w:hint="eastAsia" w:ascii="方正仿宋_GBK" w:hAnsi="方正仿宋_GBK" w:eastAsia="方正仿宋_GBK" w:cs="方正仿宋_GBK"/>
          <w:color w:val="auto"/>
          <w:sz w:val="32"/>
          <w:lang w:val="en-US" w:eastAsia="zh-CN"/>
        </w:rPr>
      </w:pPr>
      <w:r>
        <w:rPr>
          <w:rFonts w:hint="eastAsia" w:ascii="方正仿宋_GBK" w:hAnsi="方正仿宋_GBK" w:eastAsia="方正仿宋_GBK" w:cs="方正仿宋_GBK"/>
          <w:color w:val="auto"/>
          <w:sz w:val="32"/>
          <w:lang w:val="en-US" w:eastAsia="zh-CN"/>
        </w:rPr>
        <w:t>（5）重点国别风险分析报告。</w:t>
      </w:r>
    </w:p>
    <w:p w14:paraId="71108ACC">
      <w:pPr>
        <w:keepNext w:val="0"/>
        <w:keepLines w:val="0"/>
        <w:pageBreakBefore w:val="0"/>
        <w:widowControl w:val="0"/>
        <w:numPr>
          <w:ilvl w:val="0"/>
          <w:numId w:val="0"/>
        </w:numPr>
        <w:kinsoku/>
        <w:wordWrap/>
        <w:overflowPunct/>
        <w:topLinePunct w:val="0"/>
        <w:autoSpaceDE/>
        <w:bidi w:val="0"/>
        <w:adjustRightInd/>
        <w:snapToGrid/>
        <w:spacing w:before="0" w:beforeLines="0" w:after="0" w:afterLines="0" w:line="600" w:lineRule="exact"/>
        <w:ind w:right="0" w:rightChars="0" w:firstLine="640" w:firstLineChars="200"/>
        <w:jc w:val="both"/>
        <w:outlineLvl w:val="9"/>
        <w:rPr>
          <w:rFonts w:hint="eastAsia" w:ascii="方正仿宋_GBK" w:hAnsi="方正仿宋_GBK" w:eastAsia="方正仿宋_GBK" w:cs="方正仿宋_GBK"/>
          <w:color w:val="auto"/>
          <w:sz w:val="32"/>
          <w:lang w:val="en-US" w:eastAsia="zh-CN"/>
        </w:rPr>
      </w:pPr>
      <w:r>
        <w:rPr>
          <w:rFonts w:hint="eastAsia" w:ascii="方正仿宋_GBK" w:hAnsi="方正仿宋_GBK" w:eastAsia="方正仿宋_GBK" w:cs="方正仿宋_GBK"/>
          <w:b w:val="0"/>
          <w:bCs w:val="0"/>
          <w:color w:val="auto"/>
          <w:sz w:val="32"/>
          <w:lang w:val="en-US" w:eastAsia="zh-CN"/>
        </w:rPr>
        <w:t>3.支持中小外贸企业增强全面风险管理能力。</w:t>
      </w:r>
      <w:r>
        <w:rPr>
          <w:rFonts w:hint="eastAsia" w:ascii="方正仿宋_GBK" w:hAnsi="方正仿宋_GBK" w:eastAsia="方正仿宋_GBK" w:cs="方正仿宋_GBK"/>
          <w:color w:val="auto"/>
          <w:sz w:val="32"/>
          <w:lang w:val="en-US" w:eastAsia="zh-CN"/>
        </w:rPr>
        <w:t>对中小外贸企业参加中国出口信用保险公司定期开展的风险管理咨询与培训服务，所产生的差旅费用予以支持，支持标准按《使用细则》规定执行。</w:t>
      </w:r>
    </w:p>
    <w:p w14:paraId="3D819FFD">
      <w:pPr>
        <w:keepNext w:val="0"/>
        <w:keepLines w:val="0"/>
        <w:pageBreakBefore w:val="0"/>
        <w:widowControl w:val="0"/>
        <w:numPr>
          <w:ilvl w:val="0"/>
          <w:numId w:val="0"/>
        </w:numPr>
        <w:kinsoku/>
        <w:wordWrap/>
        <w:overflowPunct/>
        <w:topLinePunct w:val="0"/>
        <w:autoSpaceDE/>
        <w:bidi w:val="0"/>
        <w:adjustRightInd/>
        <w:snapToGrid/>
        <w:spacing w:before="0" w:beforeLines="0" w:after="0" w:afterLines="0" w:line="600" w:lineRule="exact"/>
        <w:ind w:right="0" w:rightChars="0" w:firstLine="640" w:firstLineChars="200"/>
        <w:jc w:val="both"/>
        <w:outlineLvl w:val="9"/>
        <w:rPr>
          <w:rFonts w:hint="eastAsia" w:ascii="方正仿宋_GBK" w:hAnsi="方正仿宋_GBK" w:eastAsia="方正仿宋_GBK" w:cs="方正仿宋_GBK"/>
          <w:color w:val="auto"/>
          <w:sz w:val="32"/>
          <w:lang w:val="en-US" w:eastAsia="zh-CN"/>
        </w:rPr>
      </w:pPr>
      <w:r>
        <w:rPr>
          <w:rFonts w:hint="eastAsia" w:ascii="方正仿宋_GBK" w:hAnsi="方正仿宋_GBK" w:eastAsia="方正仿宋_GBK" w:cs="方正仿宋_GBK"/>
          <w:b w:val="0"/>
          <w:bCs w:val="0"/>
          <w:color w:val="auto"/>
          <w:sz w:val="32"/>
          <w:lang w:val="en-US" w:eastAsia="zh-CN"/>
        </w:rPr>
        <w:t>上述资金支持项目未标注支持标准的项目原则按不超过实际发生费用的70%给予支持</w:t>
      </w:r>
      <w:r>
        <w:rPr>
          <w:rFonts w:hint="eastAsia" w:ascii="方正仿宋_GBK" w:hAnsi="方正仿宋_GBK" w:eastAsia="方正仿宋_GBK" w:cs="方正仿宋_GBK"/>
          <w:color w:val="auto"/>
          <w:sz w:val="32"/>
          <w:lang w:val="en-US" w:eastAsia="zh-CN"/>
        </w:rPr>
        <w:t>。</w:t>
      </w:r>
    </w:p>
    <w:p w14:paraId="5C4CDC28">
      <w:pPr>
        <w:keepNext w:val="0"/>
        <w:keepLines w:val="0"/>
        <w:pageBreakBefore w:val="0"/>
        <w:widowControl w:val="0"/>
        <w:numPr>
          <w:ilvl w:val="0"/>
          <w:numId w:val="0"/>
        </w:numPr>
        <w:kinsoku/>
        <w:wordWrap/>
        <w:overflowPunct/>
        <w:topLinePunct w:val="0"/>
        <w:autoSpaceDE/>
        <w:bidi w:val="0"/>
        <w:adjustRightInd/>
        <w:snapToGrid/>
        <w:spacing w:before="0" w:beforeLines="0" w:after="0" w:afterLines="0" w:line="600" w:lineRule="exact"/>
        <w:ind w:leftChars="0" w:right="0" w:rightChars="0" w:firstLine="640" w:firstLineChars="200"/>
        <w:jc w:val="both"/>
        <w:outlineLvl w:val="9"/>
        <w:rPr>
          <w:rFonts w:hint="eastAsia" w:ascii="方正楷体_GBK" w:hAnsi="方正楷体_GBK" w:eastAsia="方正楷体_GBK" w:cs="方正楷体_GBK"/>
          <w:color w:val="auto"/>
          <w:sz w:val="32"/>
          <w:szCs w:val="32"/>
          <w:lang w:val="en-US" w:eastAsia="zh-CN"/>
        </w:rPr>
      </w:pPr>
      <w:r>
        <w:rPr>
          <w:rFonts w:hint="eastAsia" w:ascii="方正楷体_GBK" w:hAnsi="方正楷体_GBK" w:eastAsia="方正楷体_GBK" w:cs="方正楷体_GBK"/>
          <w:color w:val="auto"/>
          <w:sz w:val="32"/>
          <w:lang w:val="en-US" w:eastAsia="zh-CN"/>
        </w:rPr>
        <w:t>（三）支持开拓国内市场项目。</w:t>
      </w:r>
    </w:p>
    <w:p w14:paraId="263C972A">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600" w:lineRule="exact"/>
        <w:ind w:firstLine="640" w:firstLineChars="200"/>
        <w:jc w:val="both"/>
        <w:textAlignment w:val="auto"/>
        <w:outlineLvl w:val="9"/>
        <w:rPr>
          <w:rFonts w:hint="eastAsia" w:ascii="方正仿宋_GBK" w:hAnsi="方正仿宋_GBK" w:eastAsia="方正仿宋_GBK" w:cs="方正仿宋_GBK"/>
          <w:color w:val="auto"/>
          <w:sz w:val="32"/>
          <w:szCs w:val="22"/>
          <w:lang w:val="en-US" w:eastAsia="zh-CN"/>
        </w:rPr>
      </w:pPr>
      <w:r>
        <w:rPr>
          <w:rFonts w:hint="eastAsia" w:ascii="方正仿宋_GBK" w:hAnsi="方正仿宋_GBK" w:eastAsia="方正仿宋_GBK" w:cs="方正仿宋_GBK"/>
          <w:b w:val="0"/>
          <w:bCs w:val="0"/>
          <w:color w:val="auto"/>
          <w:sz w:val="32"/>
          <w:szCs w:val="22"/>
          <w:lang w:val="en-US" w:eastAsia="zh-CN"/>
        </w:rPr>
        <w:t>1.支持外贸生产型企业参加国内展会</w:t>
      </w:r>
      <w:r>
        <w:rPr>
          <w:rFonts w:hint="eastAsia" w:ascii="方正仿宋_GBK" w:hAnsi="方正仿宋_GBK" w:eastAsia="方正仿宋_GBK" w:cs="方正仿宋_GBK"/>
          <w:color w:val="auto"/>
          <w:sz w:val="32"/>
          <w:szCs w:val="22"/>
          <w:lang w:val="en-US" w:eastAsia="zh-CN"/>
        </w:rPr>
        <w:t>。按照不高于50%比例支持展位费，每个企业每个申报年度最高支持不超过30万元，最多支持5个展会。</w:t>
      </w:r>
    </w:p>
    <w:p w14:paraId="71CD0B39">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600" w:lineRule="exact"/>
        <w:ind w:firstLine="640" w:firstLineChars="200"/>
        <w:jc w:val="both"/>
        <w:textAlignment w:val="auto"/>
        <w:outlineLvl w:val="9"/>
        <w:rPr>
          <w:rFonts w:hint="eastAsia" w:ascii="方正仿宋_GBK" w:hAnsi="方正仿宋_GBK" w:eastAsia="方正仿宋_GBK" w:cs="方正仿宋_GBK"/>
          <w:color w:val="auto"/>
          <w:sz w:val="32"/>
          <w:lang w:val="en-US" w:eastAsia="zh-CN"/>
        </w:rPr>
      </w:pPr>
      <w:r>
        <w:rPr>
          <w:rFonts w:hint="eastAsia" w:ascii="方正仿宋_GBK" w:hAnsi="方正仿宋_GBK" w:eastAsia="方正仿宋_GBK" w:cs="方正仿宋_GBK"/>
          <w:b w:val="0"/>
          <w:bCs w:val="0"/>
          <w:color w:val="auto"/>
          <w:sz w:val="32"/>
          <w:szCs w:val="22"/>
          <w:lang w:val="en-US" w:eastAsia="zh-CN"/>
        </w:rPr>
        <w:t>2.支持已投保国内贸易信用保险的外贸生产型企业购买国内企业</w:t>
      </w:r>
      <w:r>
        <w:rPr>
          <w:rFonts w:hint="eastAsia" w:ascii="方正仿宋_GBK" w:hAnsi="方正仿宋_GBK" w:eastAsia="方正仿宋_GBK" w:cs="方正仿宋_GBK"/>
          <w:color w:val="auto"/>
          <w:sz w:val="32"/>
          <w:szCs w:val="22"/>
          <w:lang w:val="en-US" w:eastAsia="zh-CN"/>
        </w:rPr>
        <w:t>标准资信报告、指定产品采购分析报告、采购商名录报告、行业研究报告等资信服务。按照不超过实际发生费用80%比例给予补助。</w:t>
      </w:r>
    </w:p>
    <w:p w14:paraId="1E57A06C">
      <w:pPr>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left="0" w:leftChars="0" w:right="0" w:rightChars="0" w:firstLine="640" w:firstLineChars="200"/>
        <w:jc w:val="both"/>
        <w:textAlignment w:val="auto"/>
        <w:outlineLvl w:val="9"/>
        <w:rPr>
          <w:rFonts w:hint="eastAsia" w:ascii="方正黑体_GBK" w:hAnsi="方正黑体_GBK" w:eastAsia="方正黑体_GBK" w:cs="方正黑体_GBK"/>
          <w:b/>
          <w:bCs/>
          <w:color w:val="auto"/>
          <w:sz w:val="32"/>
          <w:szCs w:val="32"/>
          <w:lang w:val="en-US" w:eastAsia="zh-CN"/>
        </w:rPr>
      </w:pPr>
      <w:r>
        <w:rPr>
          <w:rFonts w:hint="eastAsia" w:ascii="方正黑体_GBK" w:hAnsi="方正黑体_GBK" w:eastAsia="方正黑体_GBK" w:cs="方正黑体_GBK"/>
          <w:b w:val="0"/>
          <w:bCs w:val="0"/>
          <w:color w:val="auto"/>
          <w:sz w:val="32"/>
          <w:szCs w:val="32"/>
          <w:lang w:val="en-US" w:eastAsia="zh-CN"/>
        </w:rPr>
        <w:t>六、支持方式</w:t>
      </w:r>
    </w:p>
    <w:p w14:paraId="71B3D929">
      <w:pPr>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left="0" w:leftChars="0" w:right="0" w:rightChars="0" w:firstLine="640" w:firstLineChars="200"/>
        <w:jc w:val="both"/>
        <w:textAlignment w:val="auto"/>
        <w:outlineLvl w:val="9"/>
        <w:rPr>
          <w:rFonts w:hint="eastAsia" w:ascii="方正仿宋_GBK" w:hAnsi="方正仿宋_GBK" w:eastAsia="方正仿宋_GBK" w:cs="方正仿宋_GBK"/>
          <w:color w:val="auto"/>
          <w:sz w:val="32"/>
          <w:lang w:val="en-US" w:eastAsia="zh-CN"/>
        </w:rPr>
      </w:pPr>
      <w:r>
        <w:rPr>
          <w:rFonts w:hint="eastAsia" w:ascii="方正仿宋_GBK" w:hAnsi="方正仿宋_GBK" w:eastAsia="方正仿宋_GBK" w:cs="方正仿宋_GBK"/>
          <w:color w:val="auto"/>
          <w:sz w:val="32"/>
          <w:lang w:val="en-US" w:eastAsia="zh-CN"/>
        </w:rPr>
        <w:t>企业项目均采取事后奖补方式。以外币为计算单位发生的费用支出，开拓国际市场项目按费用支出凭证发生日所在季度最后一个工作日中国人民银行公布的人民币汇率中间价计算，凡涉及中国人民币银行公布的人民币汇率不包含的外币，先折算成美元再折算成人民币。</w:t>
      </w:r>
    </w:p>
    <w:p w14:paraId="4CA927F9">
      <w:pPr>
        <w:keepNext w:val="0"/>
        <w:keepLines w:val="0"/>
        <w:pageBreakBefore w:val="0"/>
        <w:widowControl w:val="0"/>
        <w:kinsoku/>
        <w:wordWrap/>
        <w:overflowPunct/>
        <w:topLinePunct w:val="0"/>
        <w:autoSpaceDE/>
        <w:bidi w:val="0"/>
        <w:adjustRightInd/>
        <w:snapToGrid/>
        <w:spacing w:before="0" w:beforeLines="0" w:beforeAutospacing="0" w:after="0" w:afterLines="0" w:afterAutospacing="0" w:line="600" w:lineRule="exact"/>
        <w:ind w:left="0" w:leftChars="0" w:right="0" w:rightChars="0" w:firstLine="640" w:firstLineChars="200"/>
        <w:jc w:val="both"/>
        <w:outlineLvl w:val="9"/>
        <w:rPr>
          <w:rFonts w:hint="eastAsia" w:ascii="方正黑体_GBK" w:hAnsi="方正黑体_GBK" w:eastAsia="方正黑体_GBK" w:cs="方正黑体_GBK"/>
          <w:b/>
          <w:bCs/>
          <w:color w:val="auto"/>
          <w:sz w:val="32"/>
          <w:lang w:val="en-US" w:eastAsia="zh-CN"/>
        </w:rPr>
      </w:pPr>
      <w:r>
        <w:rPr>
          <w:rFonts w:hint="eastAsia" w:ascii="方正黑体_GBK" w:hAnsi="方正黑体_GBK" w:eastAsia="方正黑体_GBK" w:cs="方正黑体_GBK"/>
          <w:b w:val="0"/>
          <w:bCs w:val="0"/>
          <w:color w:val="auto"/>
          <w:sz w:val="32"/>
          <w:lang w:val="en-US" w:eastAsia="zh-CN"/>
        </w:rPr>
        <w:t>七、其他事项</w:t>
      </w:r>
    </w:p>
    <w:p w14:paraId="1A713F55">
      <w:pPr>
        <w:keepNext w:val="0"/>
        <w:keepLines w:val="0"/>
        <w:pageBreakBefore w:val="0"/>
        <w:widowControl w:val="0"/>
        <w:numPr>
          <w:ilvl w:val="0"/>
          <w:numId w:val="0"/>
        </w:numPr>
        <w:kinsoku/>
        <w:wordWrap/>
        <w:overflowPunct/>
        <w:topLinePunct w:val="0"/>
        <w:autoSpaceDE/>
        <w:bidi w:val="0"/>
        <w:adjustRightInd/>
        <w:snapToGrid/>
        <w:spacing w:before="0" w:beforeLines="0" w:beforeAutospacing="0" w:after="0" w:afterLines="0" w:afterAutospacing="0" w:line="600" w:lineRule="exact"/>
        <w:ind w:right="0" w:rightChars="0" w:firstLine="640" w:firstLineChars="200"/>
        <w:jc w:val="both"/>
        <w:outlineLvl w:val="9"/>
        <w:rPr>
          <w:rFonts w:hint="eastAsia" w:ascii="方正楷体_GBK" w:hAnsi="方正楷体_GBK" w:eastAsia="方正楷体_GBK" w:cs="方正楷体_GBK"/>
          <w:bCs/>
          <w:color w:val="auto"/>
          <w:sz w:val="32"/>
          <w:szCs w:val="24"/>
          <w:lang w:eastAsia="zh-CN"/>
        </w:rPr>
      </w:pPr>
      <w:r>
        <w:rPr>
          <w:rFonts w:hint="eastAsia" w:ascii="方正楷体_GBK" w:hAnsi="方正楷体_GBK" w:eastAsia="方正楷体_GBK" w:cs="方正楷体_GBK"/>
          <w:bCs/>
          <w:color w:val="auto"/>
          <w:sz w:val="32"/>
          <w:szCs w:val="24"/>
          <w:lang w:eastAsia="zh-CN"/>
        </w:rPr>
        <w:t>（一）不受理拟拨付金额在</w:t>
      </w:r>
      <w:r>
        <w:rPr>
          <w:rFonts w:hint="eastAsia" w:ascii="方正楷体_GBK" w:hAnsi="方正楷体_GBK" w:eastAsia="方正楷体_GBK" w:cs="方正楷体_GBK"/>
          <w:bCs/>
          <w:color w:val="auto"/>
          <w:sz w:val="32"/>
          <w:szCs w:val="24"/>
          <w:lang w:val="en-US" w:eastAsia="zh-CN"/>
        </w:rPr>
        <w:t>5万元以下的项目。</w:t>
      </w:r>
    </w:p>
    <w:p w14:paraId="0BD1CC36">
      <w:pPr>
        <w:keepNext w:val="0"/>
        <w:keepLines w:val="0"/>
        <w:pageBreakBefore w:val="0"/>
        <w:widowControl w:val="0"/>
        <w:numPr>
          <w:ilvl w:val="0"/>
          <w:numId w:val="0"/>
        </w:numPr>
        <w:kinsoku/>
        <w:wordWrap/>
        <w:overflowPunct/>
        <w:topLinePunct w:val="0"/>
        <w:autoSpaceDE/>
        <w:bidi w:val="0"/>
        <w:adjustRightInd/>
        <w:snapToGrid/>
        <w:spacing w:before="0" w:beforeLines="0" w:beforeAutospacing="0" w:after="0" w:afterLines="0" w:afterAutospacing="0" w:line="600" w:lineRule="exact"/>
        <w:ind w:right="0" w:rightChars="0" w:firstLine="640" w:firstLineChars="200"/>
        <w:jc w:val="both"/>
        <w:outlineLvl w:val="9"/>
        <w:rPr>
          <w:rFonts w:hint="eastAsia" w:ascii="方正楷体_GBK" w:hAnsi="方正楷体_GBK" w:eastAsia="方正楷体_GBK" w:cs="方正楷体_GBK"/>
          <w:bCs/>
          <w:color w:val="auto"/>
          <w:sz w:val="32"/>
          <w:szCs w:val="24"/>
          <w:lang w:eastAsia="zh-CN"/>
        </w:rPr>
      </w:pPr>
      <w:r>
        <w:rPr>
          <w:rFonts w:hint="eastAsia" w:ascii="方正楷体_GBK" w:hAnsi="方正楷体_GBK" w:eastAsia="方正楷体_GBK" w:cs="方正楷体_GBK"/>
          <w:bCs/>
          <w:color w:val="auto"/>
          <w:sz w:val="32"/>
          <w:szCs w:val="24"/>
          <w:lang w:eastAsia="zh-CN"/>
        </w:rPr>
        <w:t>（二）资金原则上不支持现金支付的项目。</w:t>
      </w:r>
    </w:p>
    <w:p w14:paraId="51330F87">
      <w:pPr>
        <w:keepNext w:val="0"/>
        <w:keepLines w:val="0"/>
        <w:pageBreakBefore w:val="0"/>
        <w:widowControl w:val="0"/>
        <w:numPr>
          <w:ilvl w:val="0"/>
          <w:numId w:val="0"/>
        </w:numPr>
        <w:kinsoku/>
        <w:wordWrap/>
        <w:overflowPunct/>
        <w:topLinePunct w:val="0"/>
        <w:autoSpaceDE/>
        <w:autoSpaceDN/>
        <w:bidi w:val="0"/>
        <w:adjustRightInd/>
        <w:snapToGrid/>
        <w:spacing w:before="0" w:beforeLines="0" w:beforeAutospacing="0" w:after="0" w:afterLines="0" w:afterAutospacing="0" w:line="600" w:lineRule="exact"/>
        <w:ind w:right="0" w:rightChars="0" w:firstLine="640" w:firstLineChars="200"/>
        <w:jc w:val="both"/>
        <w:textAlignment w:val="baseline"/>
        <w:outlineLvl w:val="9"/>
        <w:rPr>
          <w:rFonts w:hint="eastAsia" w:ascii="方正仿宋_GBK" w:hAnsi="方正仿宋_GBK" w:eastAsia="方正仿宋_GBK" w:cs="方正仿宋_GBK"/>
          <w:color w:val="auto"/>
          <w:sz w:val="32"/>
        </w:rPr>
      </w:pPr>
      <w:r>
        <w:rPr>
          <w:rFonts w:hint="eastAsia" w:ascii="方正楷体_GBK" w:hAnsi="方正楷体_GBK" w:eastAsia="方正楷体_GBK" w:cs="方正楷体_GBK"/>
          <w:bCs/>
          <w:color w:val="auto"/>
          <w:sz w:val="32"/>
          <w:szCs w:val="24"/>
          <w:lang w:eastAsia="zh-CN"/>
        </w:rPr>
        <w:t>（三）</w:t>
      </w:r>
      <w:r>
        <w:rPr>
          <w:rFonts w:hint="eastAsia" w:ascii="方正楷体_GBK" w:hAnsi="方正楷体_GBK" w:eastAsia="方正楷体_GBK" w:cs="方正楷体_GBK"/>
          <w:bCs/>
          <w:color w:val="auto"/>
          <w:sz w:val="32"/>
          <w:szCs w:val="24"/>
        </w:rPr>
        <w:t>项目单位</w:t>
      </w:r>
      <w:r>
        <w:rPr>
          <w:rFonts w:hint="eastAsia" w:ascii="方正楷体_GBK" w:hAnsi="方正楷体_GBK" w:eastAsia="方正楷体_GBK" w:cs="方正楷体_GBK"/>
          <w:bCs/>
          <w:color w:val="auto"/>
          <w:sz w:val="32"/>
          <w:szCs w:val="24"/>
          <w:lang w:eastAsia="zh-CN"/>
        </w:rPr>
        <w:t>应按本通知附件要求提交项目申请材料，编制材料目录并按顺序印制成册。</w:t>
      </w:r>
      <w:r>
        <w:rPr>
          <w:rFonts w:hint="eastAsia" w:ascii="方正仿宋_GBK" w:hAnsi="方正仿宋_GBK" w:eastAsia="方正仿宋_GBK" w:cs="方正仿宋_GBK"/>
          <w:color w:val="auto"/>
          <w:sz w:val="32"/>
          <w:lang w:eastAsia="zh-CN"/>
        </w:rPr>
        <w:t>同时，必须随附有企业法定代表人或授权负责人签字，并提供盖有公司印章对申报材料真实性作出的声明文件。</w:t>
      </w:r>
      <w:r>
        <w:rPr>
          <w:rFonts w:hint="eastAsia" w:ascii="方正仿宋_GBK" w:hAnsi="方正仿宋_GBK" w:eastAsia="方正仿宋_GBK" w:cs="方正仿宋_GBK"/>
          <w:color w:val="auto"/>
          <w:sz w:val="32"/>
        </w:rPr>
        <w:t>　</w:t>
      </w:r>
    </w:p>
    <w:p w14:paraId="6C0E1D76">
      <w:pPr>
        <w:keepNext w:val="0"/>
        <w:keepLines w:val="0"/>
        <w:pageBreakBefore w:val="0"/>
        <w:widowControl w:val="0"/>
        <w:numPr>
          <w:ilvl w:val="0"/>
          <w:numId w:val="0"/>
        </w:numPr>
        <w:kinsoku/>
        <w:wordWrap/>
        <w:overflowPunct/>
        <w:topLinePunct w:val="0"/>
        <w:autoSpaceDE/>
        <w:bidi w:val="0"/>
        <w:adjustRightInd/>
        <w:snapToGrid/>
        <w:spacing w:before="0" w:beforeLines="0" w:beforeAutospacing="0" w:after="0" w:afterLines="0" w:afterAutospacing="0" w:line="600" w:lineRule="exact"/>
        <w:ind w:left="0" w:leftChars="0" w:right="0" w:rightChars="0" w:firstLine="640" w:firstLineChars="200"/>
        <w:jc w:val="both"/>
        <w:rPr>
          <w:rFonts w:hint="eastAsia" w:ascii="方正仿宋_GBK" w:hAnsi="方正仿宋_GBK" w:eastAsia="方正仿宋_GBK" w:cs="方正仿宋_GBK"/>
          <w:color w:val="auto"/>
          <w:sz w:val="32"/>
        </w:rPr>
      </w:pPr>
    </w:p>
    <w:p w14:paraId="10C6E4CD">
      <w:pPr>
        <w:keepNext w:val="0"/>
        <w:keepLines w:val="0"/>
        <w:pageBreakBefore w:val="0"/>
        <w:widowControl w:val="0"/>
        <w:numPr>
          <w:ilvl w:val="0"/>
          <w:numId w:val="0"/>
        </w:numPr>
        <w:kinsoku/>
        <w:wordWrap/>
        <w:overflowPunct/>
        <w:topLinePunct w:val="0"/>
        <w:autoSpaceDE/>
        <w:bidi w:val="0"/>
        <w:adjustRightInd/>
        <w:snapToGrid/>
        <w:spacing w:before="0" w:beforeLines="0" w:beforeAutospacing="0" w:after="0" w:afterLines="0" w:afterAutospacing="0" w:line="600" w:lineRule="exact"/>
        <w:ind w:left="0" w:leftChars="0" w:right="0" w:rightChars="0" w:firstLine="640" w:firstLineChars="200"/>
        <w:jc w:val="both"/>
        <w:rPr>
          <w:rFonts w:hint="eastAsia" w:ascii="方正仿宋_GBK" w:hAnsi="方正仿宋_GBK" w:eastAsia="方正仿宋_GBK" w:cs="方正仿宋_GBK"/>
          <w:color w:val="auto"/>
          <w:sz w:val="32"/>
        </w:rPr>
      </w:pPr>
      <w:r>
        <w:rPr>
          <w:rFonts w:hint="eastAsia" w:ascii="方正仿宋_GBK" w:hAnsi="方正仿宋_GBK" w:eastAsia="方正仿宋_GBK" w:cs="方正仿宋_GBK"/>
          <w:color w:val="auto"/>
          <w:sz w:val="32"/>
          <w:lang w:val="en-US" w:eastAsia="zh-CN"/>
        </w:rPr>
        <w:t>附件：1-1.资金项目申请应提交的材料及相关要求</w:t>
      </w:r>
      <w:r>
        <w:rPr>
          <w:rFonts w:hint="eastAsia" w:ascii="方正仿宋_GBK" w:hAnsi="方正仿宋_GBK" w:eastAsia="方正仿宋_GBK" w:cs="方正仿宋_GBK"/>
          <w:color w:val="auto"/>
          <w:sz w:val="32"/>
        </w:rPr>
        <w:t>　</w:t>
      </w:r>
    </w:p>
    <w:p w14:paraId="4A311B14">
      <w:pPr>
        <w:keepNext w:val="0"/>
        <w:keepLines w:val="0"/>
        <w:pageBreakBefore w:val="0"/>
        <w:widowControl w:val="0"/>
        <w:numPr>
          <w:ilvl w:val="0"/>
          <w:numId w:val="0"/>
        </w:numPr>
        <w:kinsoku/>
        <w:wordWrap/>
        <w:overflowPunct/>
        <w:topLinePunct w:val="0"/>
        <w:autoSpaceDE/>
        <w:bidi w:val="0"/>
        <w:adjustRightInd/>
        <w:snapToGrid/>
        <w:spacing w:before="0" w:beforeLines="0" w:beforeAutospacing="0" w:after="0" w:afterLines="0" w:afterAutospacing="0" w:line="600" w:lineRule="exact"/>
        <w:ind w:left="0" w:leftChars="0" w:right="0" w:rightChars="0" w:firstLine="640" w:firstLineChars="200"/>
        <w:jc w:val="both"/>
        <w:rPr>
          <w:rFonts w:hint="eastAsia" w:ascii="方正仿宋_GBK" w:hAnsi="方正仿宋_GBK" w:eastAsia="方正仿宋_GBK" w:cs="方正仿宋_GBK"/>
          <w:color w:val="auto"/>
          <w:sz w:val="32"/>
          <w:lang w:val="en-US" w:eastAsia="zh-CN"/>
        </w:rPr>
      </w:pPr>
      <w:r>
        <w:rPr>
          <w:rFonts w:hint="eastAsia" w:ascii="方正仿宋_GBK" w:hAnsi="方正仿宋_GBK" w:eastAsia="方正仿宋_GBK" w:cs="方正仿宋_GBK"/>
          <w:color w:val="auto"/>
          <w:sz w:val="32"/>
          <w:lang w:val="en-US" w:eastAsia="zh-CN"/>
        </w:rPr>
        <w:t xml:space="preserve">      1-2.资金申请汇总表（市县商务部门填写）</w:t>
      </w:r>
    </w:p>
    <w:p w14:paraId="15417C67">
      <w:pPr>
        <w:keepNext w:val="0"/>
        <w:keepLines w:val="0"/>
        <w:pageBreakBefore w:val="0"/>
        <w:widowControl w:val="0"/>
        <w:numPr>
          <w:ilvl w:val="0"/>
          <w:numId w:val="0"/>
        </w:numPr>
        <w:kinsoku/>
        <w:wordWrap/>
        <w:overflowPunct/>
        <w:topLinePunct w:val="0"/>
        <w:autoSpaceDE/>
        <w:bidi w:val="0"/>
        <w:adjustRightInd/>
        <w:snapToGrid/>
        <w:spacing w:before="0" w:beforeLines="0" w:beforeAutospacing="0" w:after="0" w:afterLines="0" w:afterAutospacing="0" w:line="600" w:lineRule="exact"/>
        <w:ind w:left="0" w:leftChars="0" w:right="0" w:rightChars="0" w:firstLine="640" w:firstLineChars="200"/>
        <w:jc w:val="both"/>
      </w:pPr>
      <w:r>
        <w:rPr>
          <w:rFonts w:hint="eastAsia" w:ascii="方正仿宋_GBK" w:hAnsi="方正仿宋_GBK" w:eastAsia="方正仿宋_GBK" w:cs="方正仿宋_GBK"/>
          <w:color w:val="auto"/>
          <w:sz w:val="32"/>
          <w:lang w:val="en-US" w:eastAsia="zh-CN"/>
        </w:rPr>
        <w:t xml:space="preserve">      1-3.承诺书</w:t>
      </w:r>
      <w:r>
        <w:rPr>
          <w:rFonts w:hint="eastAsia" w:ascii="方正仿宋_GBK" w:hAnsi="方正仿宋_GBK" w:eastAsia="方正仿宋_GBK" w:cs="方正仿宋_GBK"/>
          <w:color w:val="auto"/>
          <w:sz w:val="32"/>
        </w:rPr>
        <w:t>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黑体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CF3C52"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方正仿宋_GBK">
    <w:altName w:val="微软雅黑"/>
    <w:panose1 w:val="02000000000000000000"/>
    <w:charset w:val="86"/>
    <w:family w:val="auto"/>
    <w:pitch w:val="default"/>
    <w:sig w:usb0="00000000" w:usb1="00000000" w:usb2="00000000" w:usb3="00000000" w:csb0="00040000" w:csb1="00000000"/>
  </w:font>
  <w:font w:name="方正楷体_GBK">
    <w:altName w:val="微软雅黑"/>
    <w:panose1 w:val="02000000000000000000"/>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g3MWU3MjFlMzY2ZGQ5MmE2MjZkMzZlOTRlMjg0ZjEifQ=="/>
  </w:docVars>
  <w:rsids>
    <w:rsidRoot w:val="2B41384C"/>
    <w:rsid w:val="12BC2885"/>
    <w:rsid w:val="1C055707"/>
    <w:rsid w:val="2B4138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qFormat="1"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bidi w:val="0"/>
      <w:jc w:val="both"/>
    </w:pPr>
    <w:rPr>
      <w:rFonts w:ascii="Calibri" w:hAnsi="Calibri" w:eastAsia="宋体" w:cs="Times New Roman"/>
      <w:color w:val="auto"/>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FollowedHyperlink"/>
    <w:basedOn w:val="3"/>
    <w:unhideWhenUsed/>
    <w:qFormat/>
    <w:uiPriority w:val="99"/>
    <w:rPr>
      <w:rFonts w:ascii="Calibri" w:hAnsi="Calibri" w:eastAsia="宋体" w:cs="Times New Roman"/>
      <w:color w:val="800080"/>
      <w:u w:val="single"/>
    </w:rPr>
  </w:style>
  <w:style w:type="paragraph" w:customStyle="1" w:styleId="5">
    <w:name w:val="Normal (Web)"/>
    <w:basedOn w:val="1"/>
    <w:qFormat/>
    <w:uiPriority w:val="0"/>
    <w:pPr>
      <w:adjustRightInd w:val="0"/>
      <w:snapToGrid w:val="0"/>
      <w:spacing w:line="520" w:lineRule="exact"/>
      <w:ind w:firstLine="200" w:firstLineChars="200"/>
    </w:pPr>
    <w:rPr>
      <w:rFonts w:ascii="Times New Roman" w:hAnsi="Times New Roman" w:eastAsia="仿宋_GB2312" w:cs="Times New Roman"/>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3284</Words>
  <Characters>3467</Characters>
  <Lines>0</Lines>
  <Paragraphs>0</Paragraphs>
  <TotalTime>0</TotalTime>
  <ScaleCrop>false</ScaleCrop>
  <LinksUpToDate>false</LinksUpToDate>
  <CharactersWithSpaces>3487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2024-08-19T01:27:00Z</dcterms:created>
  <dc:creator>一世。</dc:creator>
  <cp:lastModifiedBy>未知</cp:lastModifiedBy>
  <dcterms:modified xsi:type="dcterms:W3CDTF">2025-10-10T07:48:17Z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1FEC5379C2B74EF38DC445FBA85B483A_11</vt:lpwstr>
  </property>
  <property fmtid="{D5CDD505-2E9C-101B-9397-08002B2CF9AE}" pid="4" name="KSOTemplateDocerSaveRecord">
    <vt:lpwstr>eyJoZGlkIjoiZjg3MWU3MjFlMzY2ZGQ5MmE2MjZkMzZlOTRlMjg0ZjEiLCJ1c2VySWQiOiIxMzExMjMyODY3In0=</vt:lpwstr>
  </property>
</Properties>
</file>