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sz w:val="32"/>
          <w:szCs w:val="32"/>
          <w:lang w:bidi="zh-CN"/>
        </w:rPr>
      </w:pPr>
      <w:r>
        <w:rPr>
          <w:rFonts w:hint="eastAsia" w:ascii="黑体" w:hAnsi="黑体" w:eastAsia="黑体"/>
          <w:sz w:val="32"/>
          <w:szCs w:val="32"/>
          <w:lang w:bidi="zh-CN"/>
        </w:rPr>
        <w:t>附件</w:t>
      </w:r>
      <w:r>
        <w:rPr>
          <w:rFonts w:hint="eastAsia" w:ascii="黑体" w:hAnsi="黑体" w:eastAsia="黑体"/>
          <w:sz w:val="32"/>
          <w:szCs w:val="32"/>
          <w:lang w:val="en-US" w:bidi="zh-CN"/>
        </w:rPr>
        <w:t>2</w:t>
      </w:r>
    </w:p>
    <w:p>
      <w:pPr>
        <w:rPr>
          <w:rFonts w:hint="eastAsia"/>
        </w:rPr>
      </w:pPr>
    </w:p>
    <w:p>
      <w:pPr>
        <w:rPr>
          <w:rFonts w:hint="eastAsia" w:ascii="宋体" w:hAnsi="宋体" w:cs="宋体"/>
          <w:b/>
          <w:bCs/>
          <w:sz w:val="44"/>
          <w:szCs w:val="44"/>
        </w:rPr>
      </w:pPr>
      <w:r>
        <w:rPr>
          <w:rFonts w:hint="eastAsia"/>
          <w:szCs w:val="24"/>
        </w:rPr>
        <w:t xml:space="preserve">                         </w:t>
      </w:r>
      <w:r>
        <w:rPr>
          <w:rFonts w:hint="eastAsia" w:ascii="宋体" w:hAnsi="宋体" w:cs="宋体"/>
          <w:b/>
          <w:bCs/>
          <w:sz w:val="44"/>
          <w:szCs w:val="44"/>
        </w:rPr>
        <w:t xml:space="preserve"> </w:t>
      </w:r>
      <w:r>
        <w:rPr>
          <w:rFonts w:ascii="宋体" w:hAnsi="宋体" w:cs="宋体"/>
          <w:b/>
          <w:bCs/>
          <w:sz w:val="44"/>
          <w:szCs w:val="44"/>
        </w:rPr>
        <w:t xml:space="preserve">  </w:t>
      </w:r>
      <w:r>
        <w:rPr>
          <w:rFonts w:hint="eastAsia" w:ascii="宋体" w:hAnsi="宋体" w:cs="宋体"/>
          <w:b/>
          <w:bCs/>
          <w:sz w:val="44"/>
          <w:szCs w:val="44"/>
        </w:rPr>
        <w:t xml:space="preserve"> 评分标准</w:t>
      </w:r>
    </w:p>
    <w:tbl>
      <w:tblPr>
        <w:tblStyle w:val="4"/>
        <w:tblW w:w="9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90"/>
        <w:gridCol w:w="1020"/>
        <w:gridCol w:w="1403"/>
        <w:gridCol w:w="2257"/>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675" w:type="dxa"/>
            <w:gridSpan w:val="2"/>
            <w:noWrap w:val="0"/>
            <w:vAlign w:val="center"/>
          </w:tcPr>
          <w:p>
            <w:pPr>
              <w:tabs>
                <w:tab w:val="left" w:pos="6480"/>
              </w:tabs>
              <w:adjustRightInd w:val="0"/>
              <w:snapToGrid w:val="0"/>
              <w:spacing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评分因素</w:t>
            </w:r>
          </w:p>
        </w:tc>
        <w:tc>
          <w:tcPr>
            <w:tcW w:w="2423" w:type="dxa"/>
            <w:gridSpan w:val="2"/>
            <w:noWrap w:val="0"/>
            <w:vAlign w:val="center"/>
          </w:tcPr>
          <w:p>
            <w:pPr>
              <w:tabs>
                <w:tab w:val="left" w:pos="6480"/>
              </w:tabs>
              <w:adjustRightInd w:val="0"/>
              <w:snapToGrid w:val="0"/>
              <w:spacing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A 价格</w:t>
            </w:r>
          </w:p>
        </w:tc>
        <w:tc>
          <w:tcPr>
            <w:tcW w:w="2257" w:type="dxa"/>
            <w:noWrap w:val="0"/>
            <w:vAlign w:val="center"/>
          </w:tcPr>
          <w:p>
            <w:pPr>
              <w:tabs>
                <w:tab w:val="left" w:pos="6480"/>
              </w:tabs>
              <w:adjustRightInd w:val="0"/>
              <w:snapToGrid w:val="0"/>
              <w:spacing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B 商务</w:t>
            </w:r>
          </w:p>
        </w:tc>
        <w:tc>
          <w:tcPr>
            <w:tcW w:w="2151" w:type="dxa"/>
            <w:noWrap w:val="0"/>
            <w:vAlign w:val="center"/>
          </w:tcPr>
          <w:p>
            <w:pPr>
              <w:tabs>
                <w:tab w:val="left" w:pos="6480"/>
              </w:tabs>
              <w:adjustRightInd w:val="0"/>
              <w:snapToGrid w:val="0"/>
              <w:spacing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C 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675" w:type="dxa"/>
            <w:gridSpan w:val="2"/>
            <w:noWrap w:val="0"/>
            <w:vAlign w:val="center"/>
          </w:tcPr>
          <w:p>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权重</w:t>
            </w:r>
          </w:p>
        </w:tc>
        <w:tc>
          <w:tcPr>
            <w:tcW w:w="2423" w:type="dxa"/>
            <w:gridSpan w:val="2"/>
            <w:noWrap w:val="0"/>
            <w:vAlign w:val="center"/>
          </w:tcPr>
          <w:p>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2257" w:type="dxa"/>
            <w:noWrap w:val="0"/>
            <w:vAlign w:val="center"/>
          </w:tcPr>
          <w:p>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2151" w:type="dxa"/>
            <w:noWrap w:val="0"/>
            <w:vAlign w:val="center"/>
          </w:tcPr>
          <w:p>
            <w:pPr>
              <w:snapToGrid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506" w:type="dxa"/>
            <w:gridSpan w:val="6"/>
            <w:tcBorders>
              <w:left w:val="nil"/>
              <w:bottom w:val="single" w:color="auto" w:sz="4" w:space="0"/>
              <w:right w:val="nil"/>
            </w:tcBorders>
            <w:noWrap w:val="0"/>
            <w:vAlign w:val="center"/>
          </w:tcPr>
          <w:p>
            <w:pPr>
              <w:spacing w:before="156" w:beforeLines="50" w:after="156" w:afterLines="50"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A 报价得分评审标准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675" w:type="dxa"/>
            <w:gridSpan w:val="2"/>
            <w:noWrap w:val="0"/>
            <w:vAlign w:val="center"/>
          </w:tcPr>
          <w:p>
            <w:pPr>
              <w:tabs>
                <w:tab w:val="left" w:pos="6480"/>
              </w:tabs>
              <w:adjustRightInd w:val="0"/>
              <w:snapToGrid w:val="0"/>
              <w:spacing w:line="44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评审项目</w:t>
            </w:r>
          </w:p>
        </w:tc>
        <w:tc>
          <w:tcPr>
            <w:tcW w:w="2423" w:type="dxa"/>
            <w:gridSpan w:val="2"/>
            <w:noWrap w:val="0"/>
            <w:vAlign w:val="center"/>
          </w:tcPr>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分值</w:t>
            </w:r>
          </w:p>
        </w:tc>
        <w:tc>
          <w:tcPr>
            <w:tcW w:w="4408" w:type="dxa"/>
            <w:gridSpan w:val="2"/>
            <w:noWrap w:val="0"/>
            <w:vAlign w:val="center"/>
          </w:tcPr>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675" w:type="dxa"/>
            <w:gridSpan w:val="2"/>
            <w:noWrap w:val="0"/>
            <w:vAlign w:val="center"/>
          </w:tcPr>
          <w:p>
            <w:pPr>
              <w:tabs>
                <w:tab w:val="left" w:pos="6480"/>
              </w:tabs>
              <w:adjustRightInd w:val="0"/>
              <w:snapToGrid w:val="0"/>
              <w:spacing w:line="44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Cs/>
                <w:sz w:val="32"/>
                <w:szCs w:val="32"/>
              </w:rPr>
              <w:t>报价</w:t>
            </w:r>
          </w:p>
        </w:tc>
        <w:tc>
          <w:tcPr>
            <w:tcW w:w="2423" w:type="dxa"/>
            <w:gridSpan w:val="2"/>
            <w:noWrap w:val="0"/>
            <w:vAlign w:val="center"/>
          </w:tcPr>
          <w:p>
            <w:pPr>
              <w:jc w:val="center"/>
              <w:rPr>
                <w:rFonts w:ascii="仿宋_GB2312" w:hAnsi="仿宋_GB2312" w:eastAsia="仿宋_GB2312" w:cs="仿宋_GB2312"/>
                <w:b/>
                <w:sz w:val="32"/>
                <w:szCs w:val="32"/>
              </w:rPr>
            </w:pPr>
            <w:r>
              <w:rPr>
                <w:rFonts w:ascii="仿宋_GB2312" w:hAnsi="仿宋_GB2312" w:eastAsia="仿宋_GB2312" w:cs="仿宋_GB2312"/>
                <w:b/>
                <w:sz w:val="32"/>
                <w:szCs w:val="32"/>
              </w:rPr>
              <w:t>10</w:t>
            </w:r>
            <w:r>
              <w:rPr>
                <w:rFonts w:hint="eastAsia" w:ascii="仿宋_GB2312" w:hAnsi="仿宋_GB2312" w:eastAsia="仿宋_GB2312" w:cs="仿宋_GB2312"/>
                <w:b/>
                <w:sz w:val="32"/>
                <w:szCs w:val="32"/>
              </w:rPr>
              <w:t>分</w:t>
            </w:r>
          </w:p>
        </w:tc>
        <w:tc>
          <w:tcPr>
            <w:tcW w:w="4408" w:type="dxa"/>
            <w:gridSpan w:val="2"/>
            <w:noWrap w:val="0"/>
            <w:vAlign w:val="center"/>
          </w:tcPr>
          <w:p>
            <w:pPr>
              <w:jc w:val="cente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基准价为满足邀标文件要求且最后报价最低的供应商的价格，价格分统一按照下列公式计算：报价得分＝（基准价/最后报价）×价格权值×100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506" w:type="dxa"/>
            <w:gridSpan w:val="6"/>
            <w:tcBorders>
              <w:left w:val="nil"/>
              <w:right w:val="nil"/>
            </w:tcBorders>
            <w:noWrap w:val="0"/>
            <w:vAlign w:val="center"/>
          </w:tcPr>
          <w:p>
            <w:pPr>
              <w:spacing w:before="156" w:beforeLines="50" w:after="156" w:afterLines="50"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B 商务评审标准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85" w:type="dxa"/>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序号</w:t>
            </w:r>
          </w:p>
        </w:tc>
        <w:tc>
          <w:tcPr>
            <w:tcW w:w="1790" w:type="dxa"/>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评审项目</w:t>
            </w:r>
          </w:p>
        </w:tc>
        <w:tc>
          <w:tcPr>
            <w:tcW w:w="1020" w:type="dxa"/>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分值</w:t>
            </w:r>
          </w:p>
        </w:tc>
        <w:tc>
          <w:tcPr>
            <w:tcW w:w="5811" w:type="dxa"/>
            <w:gridSpan w:val="3"/>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5" w:type="dxa"/>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w:t>
            </w:r>
          </w:p>
        </w:tc>
        <w:tc>
          <w:tcPr>
            <w:tcW w:w="1790" w:type="dxa"/>
            <w:noWrap w:val="0"/>
            <w:vAlign w:val="center"/>
          </w:tcPr>
          <w:p>
            <w:pPr>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供应商</w:t>
            </w:r>
          </w:p>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类似业绩</w:t>
            </w:r>
          </w:p>
        </w:tc>
        <w:tc>
          <w:tcPr>
            <w:tcW w:w="1020" w:type="dxa"/>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10分</w:t>
            </w:r>
          </w:p>
        </w:tc>
        <w:tc>
          <w:tcPr>
            <w:tcW w:w="5811" w:type="dxa"/>
            <w:gridSpan w:val="3"/>
            <w:noWrap w:val="0"/>
            <w:vAlign w:val="center"/>
          </w:tcPr>
          <w:p>
            <w:pPr>
              <w:spacing w:line="264"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年1月1日至</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月3</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日，供应商具有承办大型会议</w:t>
            </w:r>
            <w:r>
              <w:rPr>
                <w:rFonts w:hint="eastAsia" w:ascii="仿宋_GB2312" w:hAnsi="仿宋_GB2312" w:eastAsia="仿宋_GB2312" w:cs="仿宋_GB2312"/>
                <w:sz w:val="32"/>
                <w:szCs w:val="32"/>
                <w:lang w:eastAsia="zh-CN"/>
              </w:rPr>
              <w:t>会展</w:t>
            </w:r>
            <w:r>
              <w:rPr>
                <w:rFonts w:hint="eastAsia" w:ascii="仿宋_GB2312" w:hAnsi="仿宋_GB2312" w:eastAsia="仿宋_GB2312" w:cs="仿宋_GB2312"/>
                <w:sz w:val="32"/>
                <w:szCs w:val="32"/>
              </w:rPr>
              <w:t>、网络宣传推广类项目活动经验，每个合同得</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分，本项满分10分。</w:t>
            </w:r>
          </w:p>
          <w:p>
            <w:pPr>
              <w:spacing w:line="264"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证明材料：</w:t>
            </w:r>
            <w:r>
              <w:rPr>
                <w:rFonts w:hint="eastAsia" w:ascii="仿宋_GB2312" w:hAnsi="仿宋_GB2312" w:eastAsia="仿宋_GB2312" w:cs="仿宋_GB2312"/>
                <w:sz w:val="32"/>
                <w:szCs w:val="32"/>
              </w:rPr>
              <w:t>提供会议会展类、网络宣传推广类业绩合同关键页复印件或其他相关证明材料复印件并加盖公章，日期以合同签订日期为准，否则不得分。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85" w:type="dxa"/>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p>
        </w:tc>
        <w:tc>
          <w:tcPr>
            <w:tcW w:w="1790" w:type="dxa"/>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专业服务团队人员配备</w:t>
            </w:r>
          </w:p>
        </w:tc>
        <w:tc>
          <w:tcPr>
            <w:tcW w:w="1020" w:type="dxa"/>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5分</w:t>
            </w:r>
          </w:p>
        </w:tc>
        <w:tc>
          <w:tcPr>
            <w:tcW w:w="5811" w:type="dxa"/>
            <w:gridSpan w:val="3"/>
            <w:noWrap w:val="0"/>
            <w:vAlign w:val="center"/>
          </w:tcPr>
          <w:p>
            <w:pPr>
              <w:spacing w:line="276" w:lineRule="auto"/>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专业服务团队：</w:t>
            </w:r>
          </w:p>
          <w:p>
            <w:pPr>
              <w:spacing w:line="276" w:lineRule="auto"/>
              <w:ind w:firstLine="640" w:firstLineChars="200"/>
              <w:rPr>
                <w:rFonts w:ascii="仿宋_GB2312" w:hAnsi="仿宋_GB2312" w:eastAsia="仿宋_GB2312" w:cs="仿宋_GB2312"/>
                <w:strike/>
                <w:sz w:val="32"/>
                <w:szCs w:val="32"/>
                <w:lang w:val="zh-TW"/>
              </w:rPr>
            </w:pP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zh-TW"/>
              </w:rPr>
              <w:t>拟派本项目专业服务团队，专业、数量、结构配备合理，包括且不少于以下人员及岗位：项目总负责人1名、</w:t>
            </w:r>
            <w:r>
              <w:rPr>
                <w:rFonts w:hint="eastAsia" w:ascii="仿宋_GB2312" w:hAnsi="仿宋_GB2312" w:eastAsia="仿宋_GB2312" w:cs="仿宋_GB2312"/>
                <w:sz w:val="32"/>
                <w:szCs w:val="32"/>
              </w:rPr>
              <w:t>会议负责人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zh-TW"/>
              </w:rPr>
              <w:t>媒体服务负责人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val="zh-TW"/>
              </w:rPr>
              <w:t>应急保障联系人</w:t>
            </w:r>
            <w:r>
              <w:rPr>
                <w:rFonts w:hint="eastAsia" w:ascii="仿宋_GB2312" w:hAnsi="仿宋_GB2312" w:eastAsia="仿宋_GB2312" w:cs="仿宋_GB2312"/>
                <w:sz w:val="32"/>
                <w:szCs w:val="32"/>
              </w:rPr>
              <w:t>1名</w:t>
            </w:r>
            <w:r>
              <w:rPr>
                <w:rFonts w:hint="eastAsia" w:ascii="仿宋_GB2312" w:hAnsi="仿宋_GB2312" w:eastAsia="仿宋_GB2312" w:cs="仿宋_GB2312"/>
                <w:sz w:val="32"/>
                <w:szCs w:val="32"/>
                <w:lang w:val="zh-TW"/>
              </w:rPr>
              <w:t>。</w:t>
            </w:r>
          </w:p>
          <w:p>
            <w:pPr>
              <w:spacing w:line="276" w:lineRule="auto"/>
              <w:ind w:firstLine="640" w:firstLineChars="200"/>
              <w:rPr>
                <w:rFonts w:ascii="仿宋_GB2312" w:hAnsi="仿宋_GB2312" w:eastAsia="仿宋_GB2312" w:cs="仿宋_GB2312"/>
                <w:sz w:val="32"/>
                <w:szCs w:val="32"/>
                <w:lang w:val="zh-TW"/>
              </w:rPr>
            </w:pPr>
            <w:r>
              <w:rPr>
                <w:rFonts w:hint="eastAsia" w:ascii="仿宋_GB2312" w:hAnsi="仿宋_GB2312" w:eastAsia="仿宋_GB2312" w:cs="仿宋_GB2312"/>
                <w:sz w:val="32"/>
                <w:szCs w:val="32"/>
                <w:lang w:val="zh-TW"/>
              </w:rPr>
              <w:t>根据以上人员人数、学历、专业等情况综合评分，符合岗位需求的为优秀得</w:t>
            </w:r>
            <w:r>
              <w:rPr>
                <w:rFonts w:hint="eastAsia" w:ascii="仿宋_GB2312" w:hAnsi="仿宋_GB2312" w:eastAsia="仿宋_GB2312" w:cs="仿宋_GB2312"/>
                <w:sz w:val="32"/>
                <w:szCs w:val="32"/>
              </w:rPr>
              <w:t>4-5分，基本符合岗位需求的为良好得2-3分，不符合岗位需求的为差得0-1分；同时</w:t>
            </w:r>
            <w:r>
              <w:rPr>
                <w:rFonts w:hint="eastAsia" w:ascii="仿宋_GB2312" w:hAnsi="仿宋_GB2312" w:eastAsia="仿宋_GB2312" w:cs="仿宋_GB2312"/>
                <w:sz w:val="32"/>
                <w:szCs w:val="32"/>
                <w:lang w:val="zh-TW"/>
              </w:rPr>
              <w:t>配备每缺一个岗位扣</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TW"/>
              </w:rPr>
              <w:t>分，扣完为止。</w:t>
            </w:r>
          </w:p>
          <w:p>
            <w:pPr>
              <w:spacing w:line="276" w:lineRule="auto"/>
              <w:rPr>
                <w:rFonts w:ascii="仿宋_GB2312" w:hAnsi="仿宋_GB2312" w:eastAsia="仿宋_GB2312" w:cs="仿宋_GB2312"/>
                <w:sz w:val="32"/>
                <w:szCs w:val="32"/>
              </w:rPr>
            </w:pPr>
            <w:r>
              <w:rPr>
                <w:rFonts w:hint="eastAsia" w:ascii="仿宋_GB2312" w:hAnsi="仿宋_GB2312" w:eastAsia="仿宋_GB2312" w:cs="仿宋_GB2312"/>
                <w:b/>
                <w:sz w:val="32"/>
                <w:szCs w:val="32"/>
                <w:lang w:val="zh-TW"/>
              </w:rPr>
              <w:t>证明材料：</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zh-TW"/>
              </w:rPr>
              <w:t>提供上述人员名单，</w:t>
            </w: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lang w:val="zh-TW"/>
              </w:rPr>
              <w:t>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TW"/>
              </w:rPr>
              <w:t>学历、专业证书、资格证等相关材料</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rPr>
              <w:t>加盖公章；提供</w:t>
            </w:r>
            <w:r>
              <w:rPr>
                <w:rFonts w:hint="eastAsia" w:ascii="仿宋_GB2312" w:hAnsi="仿宋_GB2312" w:eastAsia="仿宋_GB2312" w:cs="仿宋_GB2312"/>
                <w:sz w:val="32"/>
                <w:szCs w:val="32"/>
                <w:lang w:val="en-US" w:eastAsia="zh-CN"/>
              </w:rPr>
              <w:t>缴纳社保</w:t>
            </w:r>
            <w:r>
              <w:rPr>
                <w:rFonts w:hint="eastAsia" w:ascii="仿宋_GB2312" w:hAnsi="仿宋_GB2312" w:eastAsia="仿宋_GB2312" w:cs="仿宋_GB2312"/>
                <w:sz w:val="32"/>
                <w:szCs w:val="32"/>
                <w:lang w:val="zh-TW"/>
              </w:rPr>
              <w:t>承诺函（格式自拟，供应商承诺函不实的，将依照有关法律法规追究法律责任。）。</w:t>
            </w:r>
            <w:r>
              <w:rPr>
                <w:rFonts w:hint="eastAsia" w:ascii="仿宋_GB2312" w:hAnsi="仿宋_GB2312" w:eastAsia="仿宋_GB2312" w:cs="仿宋_GB2312"/>
                <w:sz w:val="32"/>
                <w:szCs w:val="32"/>
              </w:rPr>
              <w:t>不提供不得分</w:t>
            </w:r>
            <w:r>
              <w:rPr>
                <w:rFonts w:hint="eastAsia" w:ascii="仿宋_GB2312" w:hAnsi="仿宋_GB2312" w:eastAsia="仿宋_GB2312" w:cs="仿宋_GB2312"/>
                <w:sz w:val="32"/>
                <w:szCs w:val="32"/>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506" w:type="dxa"/>
            <w:gridSpan w:val="6"/>
            <w:tcBorders>
              <w:top w:val="nil"/>
              <w:left w:val="nil"/>
              <w:right w:val="nil"/>
            </w:tcBorders>
            <w:noWrap w:val="0"/>
            <w:vAlign w:val="center"/>
          </w:tcPr>
          <w:p>
            <w:pPr>
              <w:spacing w:line="276" w:lineRule="auto"/>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C 技术评审标准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885" w:type="dxa"/>
            <w:vMerge w:val="restart"/>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p>
        </w:tc>
        <w:tc>
          <w:tcPr>
            <w:tcW w:w="1790" w:type="dxa"/>
            <w:vMerge w:val="restart"/>
            <w:noWrap w:val="0"/>
            <w:vAlign w:val="center"/>
          </w:tcPr>
          <w:p>
            <w:pPr>
              <w:jc w:val="center"/>
              <w:rPr>
                <w:rFonts w:ascii="仿宋_GB2312" w:hAnsi="仿宋_GB2312" w:eastAsia="仿宋_GB2312" w:cs="仿宋_GB2312"/>
                <w:b/>
                <w:kern w:val="0"/>
                <w:sz w:val="32"/>
                <w:szCs w:val="32"/>
              </w:rPr>
            </w:pPr>
            <w:r>
              <w:rPr>
                <w:rFonts w:hint="eastAsia" w:ascii="仿宋_GB2312" w:hAnsi="仿宋_GB2312" w:eastAsia="仿宋_GB2312" w:cs="仿宋_GB2312"/>
                <w:b/>
                <w:bCs/>
                <w:kern w:val="0"/>
                <w:sz w:val="32"/>
                <w:szCs w:val="32"/>
                <w:lang w:val="zh-TW"/>
              </w:rPr>
              <w:t>项目策划实施方案</w:t>
            </w:r>
          </w:p>
        </w:tc>
        <w:tc>
          <w:tcPr>
            <w:tcW w:w="1020" w:type="dxa"/>
            <w:vMerge w:val="restart"/>
            <w:noWrap w:val="0"/>
            <w:vAlign w:val="center"/>
          </w:tcPr>
          <w:p>
            <w:pPr>
              <w:jc w:val="center"/>
              <w:rPr>
                <w:rFonts w:ascii="仿宋_GB2312" w:hAnsi="仿宋_GB2312" w:eastAsia="仿宋_GB2312" w:cs="仿宋_GB2312"/>
                <w:b/>
                <w:kern w:val="0"/>
                <w:sz w:val="32"/>
                <w:szCs w:val="32"/>
              </w:rPr>
            </w:pPr>
            <w:r>
              <w:rPr>
                <w:rFonts w:hint="default" w:ascii="仿宋_GB2312" w:hAnsi="仿宋_GB2312" w:eastAsia="仿宋_GB2312" w:cs="仿宋_GB2312"/>
                <w:b/>
                <w:kern w:val="0"/>
                <w:sz w:val="32"/>
                <w:szCs w:val="32"/>
                <w:lang w:val="en-US"/>
              </w:rPr>
              <w:t>7</w:t>
            </w:r>
            <w:r>
              <w:rPr>
                <w:rFonts w:ascii="仿宋_GB2312" w:hAnsi="仿宋_GB2312" w:eastAsia="仿宋_GB2312" w:cs="仿宋_GB2312"/>
                <w:b/>
                <w:kern w:val="0"/>
                <w:sz w:val="32"/>
                <w:szCs w:val="32"/>
              </w:rPr>
              <w:t>5</w:t>
            </w:r>
            <w:r>
              <w:rPr>
                <w:rFonts w:hint="eastAsia" w:ascii="仿宋_GB2312" w:hAnsi="仿宋_GB2312" w:eastAsia="仿宋_GB2312" w:cs="仿宋_GB2312"/>
                <w:b/>
                <w:kern w:val="0"/>
                <w:sz w:val="32"/>
                <w:szCs w:val="32"/>
              </w:rPr>
              <w:t>分</w:t>
            </w:r>
          </w:p>
        </w:tc>
        <w:tc>
          <w:tcPr>
            <w:tcW w:w="5811" w:type="dxa"/>
            <w:gridSpan w:val="3"/>
            <w:noWrap w:val="0"/>
            <w:vAlign w:val="top"/>
          </w:tcPr>
          <w:p>
            <w:pPr>
              <w:numPr>
                <w:ilvl w:val="0"/>
                <w:numId w:val="1"/>
              </w:numPr>
              <w:adjustRightInd w:val="0"/>
              <w:snapToGrid w:val="0"/>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根据供应商提供的总体方案及组织措施进行综合评价：（满分</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分）</w:t>
            </w:r>
          </w:p>
          <w:p>
            <w:pPr>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①总体策划方案清晰、合理、全面、实用、创新，且具有重点针对性的为优秀得</w:t>
            </w:r>
            <w:r>
              <w:rPr>
                <w:rFonts w:hint="default" w:ascii="仿宋_GB2312" w:hAnsi="仿宋_GB2312" w:eastAsia="仿宋_GB2312" w:cs="仿宋_GB2312"/>
                <w:kern w:val="0"/>
                <w:sz w:val="32"/>
                <w:szCs w:val="32"/>
                <w:lang w:val="en-US"/>
              </w:rPr>
              <w:t>15-20</w:t>
            </w:r>
            <w:r>
              <w:rPr>
                <w:rFonts w:hint="eastAsia" w:ascii="仿宋_GB2312" w:hAnsi="仿宋_GB2312" w:eastAsia="仿宋_GB2312" w:cs="仿宋_GB2312"/>
                <w:kern w:val="0"/>
                <w:sz w:val="32"/>
                <w:szCs w:val="32"/>
              </w:rPr>
              <w:t>分；</w:t>
            </w:r>
          </w:p>
          <w:p>
            <w:pPr>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②总体策划方案完整，但不具备针对性的为良好得</w:t>
            </w:r>
            <w:r>
              <w:rPr>
                <w:rFonts w:hint="default" w:ascii="仿宋_GB2312" w:hAnsi="仿宋_GB2312" w:eastAsia="仿宋_GB2312" w:cs="仿宋_GB2312"/>
                <w:kern w:val="0"/>
                <w:sz w:val="32"/>
                <w:szCs w:val="32"/>
                <w:lang w:val="en-US"/>
              </w:rPr>
              <w:t>5</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w:t>
            </w:r>
            <w:r>
              <w:rPr>
                <w:rFonts w:hint="default" w:ascii="仿宋_GB2312" w:hAnsi="仿宋_GB2312" w:eastAsia="仿宋_GB2312" w:cs="仿宋_GB2312"/>
                <w:kern w:val="0"/>
                <w:sz w:val="32"/>
                <w:szCs w:val="32"/>
                <w:lang w:val="en-US"/>
              </w:rPr>
              <w:t>4</w:t>
            </w:r>
            <w:r>
              <w:rPr>
                <w:rFonts w:hint="eastAsia" w:ascii="仿宋_GB2312" w:hAnsi="仿宋_GB2312" w:eastAsia="仿宋_GB2312" w:cs="仿宋_GB2312"/>
                <w:kern w:val="0"/>
                <w:sz w:val="32"/>
                <w:szCs w:val="32"/>
              </w:rPr>
              <w:t>分；</w:t>
            </w:r>
          </w:p>
          <w:p>
            <w:pPr>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③总体策划方案不完整或存在重大缺陷的为差得0-</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dxa"/>
            <w:vMerge w:val="continue"/>
            <w:noWrap w:val="0"/>
            <w:vAlign w:val="center"/>
          </w:tcPr>
          <w:p>
            <w:pPr>
              <w:jc w:val="center"/>
              <w:rPr>
                <w:rFonts w:ascii="仿宋_GB2312" w:hAnsi="仿宋_GB2312" w:eastAsia="仿宋_GB2312" w:cs="仿宋_GB2312"/>
                <w:b/>
                <w:kern w:val="0"/>
                <w:sz w:val="32"/>
                <w:szCs w:val="32"/>
              </w:rPr>
            </w:pPr>
          </w:p>
        </w:tc>
        <w:tc>
          <w:tcPr>
            <w:tcW w:w="1790" w:type="dxa"/>
            <w:vMerge w:val="continue"/>
            <w:noWrap w:val="0"/>
            <w:vAlign w:val="center"/>
          </w:tcPr>
          <w:p>
            <w:pPr>
              <w:jc w:val="center"/>
              <w:rPr>
                <w:rFonts w:ascii="仿宋_GB2312" w:hAnsi="仿宋_GB2312" w:eastAsia="仿宋_GB2312" w:cs="仿宋_GB2312"/>
                <w:b/>
                <w:bCs/>
                <w:kern w:val="0"/>
                <w:sz w:val="32"/>
                <w:szCs w:val="32"/>
                <w:lang w:val="zh-TW"/>
              </w:rPr>
            </w:pPr>
          </w:p>
        </w:tc>
        <w:tc>
          <w:tcPr>
            <w:tcW w:w="1020" w:type="dxa"/>
            <w:vMerge w:val="continue"/>
            <w:noWrap w:val="0"/>
            <w:vAlign w:val="center"/>
          </w:tcPr>
          <w:p>
            <w:pPr>
              <w:jc w:val="center"/>
              <w:rPr>
                <w:rFonts w:ascii="仿宋_GB2312" w:hAnsi="仿宋_GB2312" w:eastAsia="仿宋_GB2312" w:cs="仿宋_GB2312"/>
                <w:b/>
                <w:kern w:val="0"/>
                <w:sz w:val="32"/>
                <w:szCs w:val="32"/>
              </w:rPr>
            </w:pPr>
          </w:p>
        </w:tc>
        <w:tc>
          <w:tcPr>
            <w:tcW w:w="5811" w:type="dxa"/>
            <w:gridSpan w:val="3"/>
            <w:noWrap w:val="0"/>
            <w:vAlign w:val="top"/>
          </w:tcPr>
          <w:p>
            <w:pPr>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（二）根据供应商提供的</w:t>
            </w:r>
            <w:r>
              <w:rPr>
                <w:rFonts w:hint="eastAsia" w:ascii="仿宋_GB2312" w:hAnsi="仿宋_GB2312" w:eastAsia="仿宋_GB2312" w:cs="仿宋_GB2312"/>
                <w:i w:val="0"/>
                <w:caps w:val="0"/>
                <w:color w:val="333333"/>
                <w:spacing w:val="0"/>
                <w:sz w:val="32"/>
                <w:szCs w:val="32"/>
                <w:shd w:val="clear" w:color="auto" w:fill="FFFFFF"/>
                <w:lang w:val="en-US" w:eastAsia="zh-CN"/>
              </w:rPr>
              <w:t>活动主画面及系列延展设计方案、现场搭建布置活动方案及效果图</w:t>
            </w:r>
            <w:r>
              <w:rPr>
                <w:rFonts w:hint="eastAsia" w:ascii="仿宋_GB2312" w:hAnsi="仿宋_GB2312" w:eastAsia="仿宋_GB2312" w:cs="仿宋_GB2312"/>
                <w:kern w:val="0"/>
                <w:sz w:val="32"/>
                <w:szCs w:val="32"/>
              </w:rPr>
              <w:t>，进行综合评价：（满分1</w:t>
            </w:r>
            <w:r>
              <w:rPr>
                <w:rFonts w:hint="default" w:ascii="仿宋_GB2312" w:hAnsi="仿宋_GB2312" w:eastAsia="仿宋_GB2312" w:cs="仿宋_GB2312"/>
                <w:kern w:val="0"/>
                <w:sz w:val="32"/>
                <w:szCs w:val="32"/>
                <w:lang w:val="en-US"/>
              </w:rPr>
              <w:t>5</w:t>
            </w:r>
            <w:r>
              <w:rPr>
                <w:rFonts w:hint="eastAsia" w:ascii="仿宋_GB2312" w:hAnsi="仿宋_GB2312" w:eastAsia="仿宋_GB2312" w:cs="仿宋_GB2312"/>
                <w:kern w:val="0"/>
                <w:sz w:val="32"/>
                <w:szCs w:val="32"/>
              </w:rPr>
              <w:t>分）</w:t>
            </w:r>
          </w:p>
          <w:p>
            <w:pPr>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①方案针对本项目的设计理念及策划方案内容完整合理且可实施性强，优秀得</w:t>
            </w:r>
            <w:r>
              <w:rPr>
                <w:rFonts w:hint="default" w:ascii="仿宋_GB2312" w:hAnsi="仿宋_GB2312" w:eastAsia="仿宋_GB2312" w:cs="仿宋_GB2312"/>
                <w:kern w:val="0"/>
                <w:sz w:val="32"/>
                <w:szCs w:val="32"/>
                <w:lang w:val="en-US"/>
              </w:rPr>
              <w:t>10</w:t>
            </w:r>
            <w:r>
              <w:rPr>
                <w:rFonts w:hint="eastAsia" w:ascii="仿宋_GB2312" w:hAnsi="仿宋_GB2312" w:eastAsia="仿宋_GB2312" w:cs="仿宋_GB2312"/>
                <w:kern w:val="0"/>
                <w:sz w:val="32"/>
                <w:szCs w:val="32"/>
              </w:rPr>
              <w:t>-1</w:t>
            </w:r>
            <w:r>
              <w:rPr>
                <w:rFonts w:hint="default" w:ascii="仿宋_GB2312" w:hAnsi="仿宋_GB2312" w:eastAsia="仿宋_GB2312" w:cs="仿宋_GB2312"/>
                <w:kern w:val="0"/>
                <w:sz w:val="32"/>
                <w:szCs w:val="32"/>
                <w:lang w:val="en-US"/>
              </w:rPr>
              <w:t>5</w:t>
            </w:r>
            <w:r>
              <w:rPr>
                <w:rFonts w:hint="eastAsia" w:ascii="仿宋_GB2312" w:hAnsi="仿宋_GB2312" w:eastAsia="仿宋_GB2312" w:cs="仿宋_GB2312"/>
                <w:kern w:val="0"/>
                <w:sz w:val="32"/>
                <w:szCs w:val="32"/>
              </w:rPr>
              <w:t>分；</w:t>
            </w:r>
          </w:p>
          <w:p>
            <w:pPr>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②方案针对本项目的设计理念及策划方案内容完整合理且具有可实施性，但无针对性为良好得</w:t>
            </w:r>
            <w:r>
              <w:rPr>
                <w:rFonts w:hint="default" w:ascii="仿宋_GB2312" w:hAnsi="仿宋_GB2312" w:eastAsia="仿宋_GB2312" w:cs="仿宋_GB2312"/>
                <w:kern w:val="0"/>
                <w:sz w:val="32"/>
                <w:szCs w:val="32"/>
                <w:lang w:val="en-US"/>
              </w:rPr>
              <w:t>5</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lang w:val="en-US"/>
              </w:rPr>
              <w:t>9</w:t>
            </w:r>
            <w:r>
              <w:rPr>
                <w:rFonts w:hint="eastAsia" w:ascii="仿宋_GB2312" w:hAnsi="仿宋_GB2312" w:eastAsia="仿宋_GB2312" w:cs="仿宋_GB2312"/>
                <w:kern w:val="0"/>
                <w:sz w:val="32"/>
                <w:szCs w:val="32"/>
              </w:rPr>
              <w:t>分；</w:t>
            </w:r>
          </w:p>
          <w:p>
            <w:pPr>
              <w:spacing w:line="500" w:lineRule="exact"/>
            </w:pPr>
            <w:r>
              <w:rPr>
                <w:rFonts w:hint="eastAsia" w:ascii="仿宋_GB2312" w:hAnsi="仿宋_GB2312" w:eastAsia="仿宋_GB2312" w:cs="仿宋_GB2312"/>
                <w:kern w:val="0"/>
                <w:sz w:val="32"/>
                <w:szCs w:val="32"/>
              </w:rPr>
              <w:t>③方案有重大缺项，6场现场活动无明显变动，活动无鲜明特点为差得0-</w:t>
            </w:r>
            <w:r>
              <w:rPr>
                <w:rFonts w:hint="default" w:ascii="仿宋_GB2312" w:hAnsi="仿宋_GB2312" w:eastAsia="仿宋_GB2312" w:cs="仿宋_GB2312"/>
                <w:kern w:val="0"/>
                <w:sz w:val="32"/>
                <w:szCs w:val="32"/>
                <w:lang w:val="en-US"/>
              </w:rPr>
              <w:t>4</w:t>
            </w:r>
            <w:r>
              <w:rPr>
                <w:rFonts w:hint="eastAsia" w:ascii="仿宋_GB2312" w:hAnsi="仿宋_GB2312" w:eastAsia="仿宋_GB2312" w:cs="仿宋_GB2312"/>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dxa"/>
            <w:vMerge w:val="continue"/>
            <w:noWrap w:val="0"/>
            <w:vAlign w:val="center"/>
          </w:tcPr>
          <w:p>
            <w:pPr>
              <w:jc w:val="center"/>
              <w:rPr>
                <w:rFonts w:ascii="仿宋_GB2312" w:hAnsi="仿宋_GB2312" w:eastAsia="仿宋_GB2312" w:cs="仿宋_GB2312"/>
                <w:b/>
                <w:kern w:val="0"/>
                <w:sz w:val="32"/>
                <w:szCs w:val="32"/>
              </w:rPr>
            </w:pPr>
          </w:p>
        </w:tc>
        <w:tc>
          <w:tcPr>
            <w:tcW w:w="1790" w:type="dxa"/>
            <w:vMerge w:val="continue"/>
            <w:noWrap w:val="0"/>
            <w:vAlign w:val="center"/>
          </w:tcPr>
          <w:p>
            <w:pPr>
              <w:jc w:val="center"/>
              <w:rPr>
                <w:rFonts w:ascii="仿宋_GB2312" w:hAnsi="仿宋_GB2312" w:eastAsia="仿宋_GB2312" w:cs="仿宋_GB2312"/>
                <w:b/>
                <w:bCs/>
                <w:kern w:val="0"/>
                <w:sz w:val="32"/>
                <w:szCs w:val="32"/>
                <w:lang w:val="zh-TW"/>
              </w:rPr>
            </w:pPr>
          </w:p>
        </w:tc>
        <w:tc>
          <w:tcPr>
            <w:tcW w:w="1020" w:type="dxa"/>
            <w:vMerge w:val="continue"/>
            <w:noWrap w:val="0"/>
            <w:vAlign w:val="center"/>
          </w:tcPr>
          <w:p>
            <w:pPr>
              <w:jc w:val="center"/>
              <w:rPr>
                <w:rFonts w:ascii="仿宋_GB2312" w:hAnsi="仿宋_GB2312" w:eastAsia="仿宋_GB2312" w:cs="仿宋_GB2312"/>
                <w:b/>
                <w:kern w:val="0"/>
                <w:sz w:val="32"/>
                <w:szCs w:val="32"/>
              </w:rPr>
            </w:pPr>
          </w:p>
        </w:tc>
        <w:tc>
          <w:tcPr>
            <w:tcW w:w="5811" w:type="dxa"/>
            <w:gridSpan w:val="3"/>
            <w:noWrap w:val="0"/>
            <w:vAlign w:val="top"/>
          </w:tcPr>
          <w:p>
            <w:pPr>
              <w:spacing w:line="24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（三）根据供应商提供的应急保障方案进行综合评价：（满分1</w:t>
            </w:r>
            <w:r>
              <w:rPr>
                <w:rFonts w:hint="default" w:ascii="仿宋_GB2312" w:hAnsi="仿宋_GB2312" w:eastAsia="仿宋_GB2312" w:cs="仿宋_GB2312"/>
                <w:kern w:val="0"/>
                <w:sz w:val="32"/>
                <w:szCs w:val="32"/>
                <w:lang w:val="en-US"/>
              </w:rPr>
              <w:t>5</w:t>
            </w:r>
            <w:r>
              <w:rPr>
                <w:rFonts w:hint="eastAsia" w:ascii="仿宋_GB2312" w:hAnsi="仿宋_GB2312" w:eastAsia="仿宋_GB2312" w:cs="仿宋_GB2312"/>
                <w:kern w:val="0"/>
                <w:sz w:val="32"/>
                <w:szCs w:val="32"/>
              </w:rPr>
              <w:t>分）</w:t>
            </w:r>
          </w:p>
          <w:p>
            <w:pPr>
              <w:spacing w:line="24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根据《用户需求书》中活动拟定应急保障方案，方案内容包括实施全过程中突发状况分析及应急处置方案、消防安全、安全保卫等工作。</w:t>
            </w:r>
          </w:p>
          <w:p>
            <w:pPr>
              <w:spacing w:line="24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①方案全面，充分考虑各项活动全过程可能发生的突发状况，提出重点发生情境及有效应急保障措施的为优秀得</w:t>
            </w:r>
            <w:r>
              <w:rPr>
                <w:rFonts w:hint="default" w:ascii="仿宋_GB2312" w:hAnsi="仿宋_GB2312" w:eastAsia="仿宋_GB2312" w:cs="仿宋_GB2312"/>
                <w:kern w:val="0"/>
                <w:sz w:val="32"/>
                <w:szCs w:val="32"/>
                <w:lang w:val="en-US"/>
              </w:rPr>
              <w:t>10</w:t>
            </w:r>
            <w:r>
              <w:rPr>
                <w:rFonts w:ascii="仿宋_GB2312" w:hAnsi="仿宋_GB2312" w:eastAsia="仿宋_GB2312" w:cs="仿宋_GB2312"/>
                <w:kern w:val="0"/>
                <w:sz w:val="32"/>
                <w:szCs w:val="32"/>
              </w:rPr>
              <w:t>-1</w:t>
            </w:r>
            <w:r>
              <w:rPr>
                <w:rFonts w:hint="default" w:ascii="仿宋_GB2312" w:hAnsi="仿宋_GB2312" w:eastAsia="仿宋_GB2312" w:cs="仿宋_GB2312"/>
                <w:kern w:val="0"/>
                <w:sz w:val="32"/>
                <w:szCs w:val="32"/>
                <w:lang w:val="en-US"/>
              </w:rPr>
              <w:t>5</w:t>
            </w:r>
            <w:r>
              <w:rPr>
                <w:rFonts w:hint="eastAsia" w:ascii="仿宋_GB2312" w:hAnsi="仿宋_GB2312" w:eastAsia="仿宋_GB2312" w:cs="仿宋_GB2312"/>
                <w:kern w:val="0"/>
                <w:sz w:val="32"/>
                <w:szCs w:val="32"/>
              </w:rPr>
              <w:t>分；</w:t>
            </w:r>
          </w:p>
          <w:p>
            <w:pPr>
              <w:spacing w:line="24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②方案比较全面，针对各项活动提出基本的应急保障措施的为良好得</w:t>
            </w:r>
            <w:r>
              <w:rPr>
                <w:rFonts w:hint="default" w:ascii="仿宋_GB2312" w:hAnsi="仿宋_GB2312" w:eastAsia="仿宋_GB2312" w:cs="仿宋_GB2312"/>
                <w:kern w:val="0"/>
                <w:sz w:val="32"/>
                <w:szCs w:val="32"/>
                <w:lang w:val="en-US"/>
              </w:rPr>
              <w:t>5</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lang w:val="en-US"/>
              </w:rPr>
              <w:t>9</w:t>
            </w:r>
            <w:r>
              <w:rPr>
                <w:rFonts w:hint="eastAsia" w:ascii="仿宋_GB2312" w:hAnsi="仿宋_GB2312" w:eastAsia="仿宋_GB2312" w:cs="仿宋_GB2312"/>
                <w:kern w:val="0"/>
                <w:sz w:val="32"/>
                <w:szCs w:val="32"/>
              </w:rPr>
              <w:t>分；</w:t>
            </w:r>
          </w:p>
          <w:p>
            <w:pPr>
              <w:spacing w:line="24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③方案存在缺陷，未针对各项活动可能发生的突发状况进行分析并提出有效措施，可实施性不强的为差得0-</w:t>
            </w:r>
            <w:r>
              <w:rPr>
                <w:rFonts w:hint="default" w:ascii="仿宋_GB2312" w:hAnsi="仿宋_GB2312" w:eastAsia="仿宋_GB2312" w:cs="仿宋_GB2312"/>
                <w:kern w:val="0"/>
                <w:sz w:val="32"/>
                <w:szCs w:val="32"/>
                <w:lang w:val="en-US"/>
              </w:rPr>
              <w:t>4</w:t>
            </w:r>
            <w:r>
              <w:rPr>
                <w:rFonts w:hint="eastAsia" w:ascii="仿宋_GB2312" w:hAnsi="仿宋_GB2312" w:eastAsia="仿宋_GB2312" w:cs="仿宋_GB2312"/>
                <w:kern w:val="0"/>
                <w:sz w:val="32"/>
                <w:szCs w:val="32"/>
              </w:rPr>
              <w:t>分。</w:t>
            </w:r>
          </w:p>
          <w:p>
            <w:pPr>
              <w:adjustRightInd/>
              <w:snapToGrid/>
              <w:spacing w:line="24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（四）根据供应商提供的宣传推广方案及措施进行综合评价：（满分</w:t>
            </w:r>
            <w:r>
              <w:rPr>
                <w:rFonts w:hint="default" w:ascii="仿宋_GB2312" w:hAnsi="仿宋_GB2312" w:eastAsia="仿宋_GB2312" w:cs="仿宋_GB2312"/>
                <w:sz w:val="32"/>
                <w:szCs w:val="32"/>
                <w:lang w:val="en-US"/>
              </w:rPr>
              <w:t>20</w:t>
            </w:r>
            <w:r>
              <w:rPr>
                <w:rFonts w:hint="eastAsia" w:ascii="仿宋_GB2312" w:hAnsi="仿宋_GB2312" w:eastAsia="仿宋_GB2312" w:cs="仿宋_GB2312"/>
                <w:sz w:val="32"/>
                <w:szCs w:val="32"/>
              </w:rPr>
              <w:t>分）</w:t>
            </w:r>
          </w:p>
          <w:p>
            <w:pPr>
              <w:spacing w:line="240" w:lineRule="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宣传推广实施</w:t>
            </w:r>
            <w:r>
              <w:rPr>
                <w:rFonts w:hint="eastAsia" w:ascii="仿宋_GB2312" w:hAnsi="仿宋_GB2312" w:eastAsia="仿宋_GB2312" w:cs="仿宋_GB2312"/>
                <w:sz w:val="32"/>
                <w:szCs w:val="32"/>
              </w:rPr>
              <w:t>平台：（满分10分）</w:t>
            </w:r>
          </w:p>
          <w:p>
            <w:pPr>
              <w:adjustRightInd/>
              <w:snapToGrid/>
              <w:spacing w:line="24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①供应商使用自有宣传推广服务平台宣传本项目的每个得2分；</w:t>
            </w:r>
          </w:p>
          <w:p>
            <w:pPr>
              <w:adjustRightInd/>
              <w:snapToGrid/>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②供应商使用合作协议方式由第三方平台宣传本次活动的每个得1分，最高得10分；本项满分10分。</w:t>
            </w:r>
          </w:p>
          <w:p>
            <w:r>
              <w:rPr>
                <w:rFonts w:hint="eastAsia" w:ascii="仿宋_GB2312" w:hAnsi="仿宋_GB2312" w:eastAsia="仿宋_GB2312" w:cs="仿宋_GB2312"/>
                <w:b/>
                <w:bCs/>
                <w:sz w:val="32"/>
                <w:szCs w:val="32"/>
              </w:rPr>
              <w:t>证明材料：</w:t>
            </w:r>
            <w:r>
              <w:rPr>
                <w:rFonts w:hint="eastAsia" w:ascii="仿宋_GB2312" w:hAnsi="仿宋_GB2312" w:eastAsia="仿宋_GB2312" w:cs="仿宋_GB2312"/>
                <w:sz w:val="32"/>
                <w:szCs w:val="32"/>
              </w:rPr>
              <w:t>自有媒体平台的证明材料、宣传平台合作协议复印件加盖公章；推广服务平台指具有独立法人资格的宣传媒体。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885" w:type="dxa"/>
            <w:vMerge w:val="continue"/>
            <w:noWrap w:val="0"/>
            <w:vAlign w:val="center"/>
          </w:tcPr>
          <w:p>
            <w:pPr>
              <w:jc w:val="center"/>
              <w:rPr>
                <w:rFonts w:ascii="仿宋_GB2312" w:hAnsi="仿宋_GB2312" w:eastAsia="仿宋_GB2312" w:cs="仿宋_GB2312"/>
                <w:b/>
                <w:kern w:val="0"/>
                <w:sz w:val="32"/>
                <w:szCs w:val="32"/>
              </w:rPr>
            </w:pPr>
          </w:p>
        </w:tc>
        <w:tc>
          <w:tcPr>
            <w:tcW w:w="1790" w:type="dxa"/>
            <w:vMerge w:val="continue"/>
            <w:noWrap w:val="0"/>
            <w:vAlign w:val="center"/>
          </w:tcPr>
          <w:p>
            <w:pPr>
              <w:jc w:val="center"/>
              <w:rPr>
                <w:rFonts w:ascii="仿宋_GB2312" w:hAnsi="仿宋_GB2312" w:eastAsia="仿宋_GB2312" w:cs="仿宋_GB2312"/>
                <w:b/>
                <w:bCs/>
                <w:kern w:val="0"/>
                <w:sz w:val="32"/>
                <w:szCs w:val="32"/>
                <w:lang w:val="zh-TW"/>
              </w:rPr>
            </w:pPr>
          </w:p>
        </w:tc>
        <w:tc>
          <w:tcPr>
            <w:tcW w:w="1020" w:type="dxa"/>
            <w:vMerge w:val="continue"/>
            <w:noWrap w:val="0"/>
            <w:vAlign w:val="center"/>
          </w:tcPr>
          <w:p>
            <w:pPr>
              <w:jc w:val="center"/>
              <w:rPr>
                <w:rFonts w:ascii="仿宋_GB2312" w:hAnsi="仿宋_GB2312" w:eastAsia="仿宋_GB2312" w:cs="仿宋_GB2312"/>
                <w:b/>
                <w:kern w:val="0"/>
                <w:sz w:val="32"/>
                <w:szCs w:val="32"/>
              </w:rPr>
            </w:pPr>
          </w:p>
        </w:tc>
        <w:tc>
          <w:tcPr>
            <w:tcW w:w="5811" w:type="dxa"/>
            <w:gridSpan w:val="3"/>
            <w:noWrap w:val="0"/>
            <w:vAlign w:val="top"/>
          </w:tcPr>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（2）宣传推广实施计划：</w:t>
            </w:r>
            <w:r>
              <w:rPr>
                <w:rFonts w:hint="eastAsia" w:ascii="仿宋_GB2312" w:hAnsi="仿宋_GB2312" w:eastAsia="仿宋_GB2312" w:cs="仿宋_GB2312"/>
                <w:sz w:val="32"/>
                <w:szCs w:val="32"/>
              </w:rPr>
              <w:t>（满分</w:t>
            </w:r>
            <w:r>
              <w:rPr>
                <w:rFonts w:hint="default" w:ascii="仿宋_GB2312" w:hAnsi="仿宋_GB2312" w:eastAsia="仿宋_GB2312" w:cs="仿宋_GB2312"/>
                <w:sz w:val="32"/>
                <w:szCs w:val="32"/>
                <w:lang w:val="en-US"/>
              </w:rPr>
              <w:t>10</w:t>
            </w:r>
            <w:r>
              <w:rPr>
                <w:rFonts w:hint="eastAsia" w:ascii="仿宋_GB2312" w:hAnsi="仿宋_GB2312" w:eastAsia="仿宋_GB2312" w:cs="仿宋_GB2312"/>
                <w:sz w:val="32"/>
                <w:szCs w:val="32"/>
              </w:rPr>
              <w:t>分）</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①计划详尽，媒体平台资源丰富，宣传力度强，影响面广，为优秀得</w:t>
            </w:r>
            <w:r>
              <w:rPr>
                <w:rFonts w:hint="default" w:ascii="仿宋_GB2312" w:hAnsi="仿宋_GB2312" w:eastAsia="仿宋_GB2312" w:cs="仿宋_GB2312"/>
                <w:sz w:val="32"/>
                <w:szCs w:val="32"/>
                <w:lang w:val="en-US"/>
              </w:rPr>
              <w:t>5</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10</w:t>
            </w:r>
            <w:r>
              <w:rPr>
                <w:rFonts w:hint="eastAsia" w:ascii="仿宋_GB2312" w:hAnsi="仿宋_GB2312" w:eastAsia="仿宋_GB2312" w:cs="仿宋_GB2312"/>
                <w:sz w:val="32"/>
                <w:szCs w:val="32"/>
              </w:rPr>
              <w:t>分；</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②计划比较全面，媒体平台统筹能力一般，为良好得</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4</w:t>
            </w:r>
            <w:r>
              <w:rPr>
                <w:rFonts w:hint="eastAsia" w:ascii="仿宋_GB2312" w:hAnsi="仿宋_GB2312" w:eastAsia="仿宋_GB2312" w:cs="仿宋_GB2312"/>
                <w:sz w:val="32"/>
                <w:szCs w:val="32"/>
              </w:rPr>
              <w:t>分；</w:t>
            </w:r>
          </w:p>
          <w:p>
            <w:pPr>
              <w:spacing w:line="500" w:lineRule="exact"/>
              <w:rPr>
                <w:rFonts w:hint="eastAsia" w:ascii="仿宋_GB2312" w:hAnsi="仿宋_GB2312" w:eastAsia="仿宋_GB2312" w:cs="仿宋_GB2312"/>
                <w:szCs w:val="24"/>
              </w:rPr>
            </w:pPr>
            <w:r>
              <w:rPr>
                <w:rFonts w:hint="eastAsia" w:ascii="仿宋_GB2312" w:hAnsi="仿宋_GB2312" w:eastAsia="仿宋_GB2312" w:cs="仿宋_GB2312"/>
                <w:sz w:val="32"/>
                <w:szCs w:val="32"/>
              </w:rPr>
              <w:t>③计划具有明显缺陷，媒体统筹能力不能满足项目需要的为差得0-</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885" w:type="dxa"/>
            <w:noWrap w:val="0"/>
            <w:vAlign w:val="center"/>
          </w:tcPr>
          <w:p>
            <w:pPr>
              <w:adjustRightInd w:val="0"/>
              <w:snapToGrid w:val="0"/>
              <w:spacing w:line="500" w:lineRule="exact"/>
              <w:jc w:val="center"/>
              <w:rPr>
                <w:rFonts w:hint="eastAsia" w:ascii="仿宋_GB2312" w:hAnsi="仿宋_GB2312" w:eastAsia="仿宋_GB2312" w:cs="仿宋_GB2312"/>
                <w:sz w:val="32"/>
                <w:szCs w:val="32"/>
              </w:rPr>
            </w:pPr>
          </w:p>
        </w:tc>
        <w:tc>
          <w:tcPr>
            <w:tcW w:w="1790" w:type="dxa"/>
            <w:noWrap w:val="0"/>
            <w:vAlign w:val="center"/>
          </w:tcPr>
          <w:p>
            <w:pPr>
              <w:adjustRightInd w:val="0"/>
              <w:snapToGrid w:val="0"/>
              <w:spacing w:line="500" w:lineRule="exact"/>
              <w:jc w:val="center"/>
              <w:rPr>
                <w:rFonts w:hint="eastAsia" w:ascii="仿宋_GB2312" w:hAnsi="仿宋_GB2312" w:eastAsia="仿宋_GB2312" w:cs="仿宋_GB2312"/>
                <w:sz w:val="32"/>
                <w:szCs w:val="32"/>
                <w:lang w:val="zh-TW"/>
              </w:rPr>
            </w:pPr>
          </w:p>
        </w:tc>
        <w:tc>
          <w:tcPr>
            <w:tcW w:w="1020" w:type="dxa"/>
            <w:noWrap w:val="0"/>
            <w:vAlign w:val="center"/>
          </w:tcPr>
          <w:p>
            <w:pPr>
              <w:adjustRightInd w:val="0"/>
              <w:snapToGrid w:val="0"/>
              <w:spacing w:line="500" w:lineRule="exact"/>
              <w:jc w:val="center"/>
              <w:rPr>
                <w:rFonts w:hint="eastAsia" w:ascii="仿宋_GB2312" w:hAnsi="仿宋_GB2312" w:eastAsia="仿宋_GB2312" w:cs="仿宋_GB2312"/>
                <w:sz w:val="32"/>
                <w:szCs w:val="32"/>
              </w:rPr>
            </w:pPr>
          </w:p>
        </w:tc>
        <w:tc>
          <w:tcPr>
            <w:tcW w:w="5811" w:type="dxa"/>
            <w:gridSpan w:val="3"/>
            <w:noWrap w:val="0"/>
            <w:vAlign w:val="top"/>
          </w:tcPr>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（五）根据供应商提供的针对本项目的各项服务承诺进行综合评价：（满分</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w:t>
            </w:r>
          </w:p>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①服务承诺完整、详细，并提供佐证或说明材料证明其承诺具有可实施性的为优秀得</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w:t>
            </w:r>
          </w:p>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②服务承诺完整、有效，未提供佐证或说明证明其承诺具有可实施性的为良好得</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分；</w:t>
            </w:r>
          </w:p>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③未提供服务承诺或服务</w:t>
            </w:r>
            <w:bookmarkStart w:id="0" w:name="_GoBack"/>
            <w:bookmarkEnd w:id="0"/>
            <w:r>
              <w:rPr>
                <w:rFonts w:hint="eastAsia" w:ascii="仿宋_GB2312" w:hAnsi="仿宋_GB2312" w:eastAsia="仿宋_GB2312" w:cs="仿宋_GB2312"/>
                <w:sz w:val="32"/>
                <w:szCs w:val="32"/>
              </w:rPr>
              <w:t>承诺存在缺陷的为差得</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w:t>
            </w:r>
          </w:p>
          <w:p>
            <w:pPr>
              <w:adjustRightInd w:val="0"/>
              <w:snapToGrid w:val="0"/>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证明材料：</w:t>
            </w:r>
            <w:r>
              <w:rPr>
                <w:rFonts w:hint="eastAsia" w:ascii="仿宋_GB2312" w:hAnsi="仿宋_GB2312" w:eastAsia="仿宋_GB2312" w:cs="仿宋_GB2312"/>
                <w:sz w:val="32"/>
                <w:szCs w:val="32"/>
              </w:rPr>
              <w:t>1.履约服务承诺；2.廉洁承诺；3.响应用户需求的承诺；4.无违法、失信行为的承诺；5.供应商认为有必要提供的其他承诺或证明材料。承诺书格式自拟。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227A3"/>
    <w:multiLevelType w:val="singleLevel"/>
    <w:tmpl w:val="934227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MGNjZjdiYzU2NDQ1NTAwNTVlNmUwYTQ3MWU5ZWIifQ=="/>
  </w:docVars>
  <w:rsids>
    <w:rsidRoot w:val="742A6878"/>
    <w:rsid w:val="2EFC221A"/>
    <w:rsid w:val="742A6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3"/>
    <w:next w:val="1"/>
    <w:qFormat/>
    <w:uiPriority w:val="0"/>
    <w:pPr>
      <w:keepNext/>
      <w:keepLines/>
      <w:outlineLvl w:val="1"/>
    </w:pPr>
    <w:rPr>
      <w:rFonts w:ascii="黑体" w:hAnsi="黑体" w:eastAsia="黑体" w:cs="Times New Roma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2024-03-12T15:34:00Z</dcterms:created>
  <dc:creator>陈陈</dc:creator>
  <cp:lastModifiedBy>蒋文艳</cp:lastModifiedBy>
  <dcterms:modified xsi:type="dcterms:W3CDTF">2024-04-02T10:35:27Z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A6E941AF6AB3405082E3519C7C3D51DB_11</vt:lpwstr>
  </property>
</Properties>
</file>