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ascii="仿宋" w:hAnsi="仿宋" w:eastAsia="仿宋" w:cs="仿宋"/>
          <w:b/>
          <w:bCs/>
          <w:sz w:val="32"/>
          <w:szCs w:val="32"/>
          <w:lang w:bidi="zh-CN"/>
        </w:rPr>
      </w:pPr>
      <w:r>
        <w:rPr>
          <w:rFonts w:hint="eastAsia" w:ascii="仿宋" w:hAnsi="仿宋" w:eastAsia="仿宋" w:cs="仿宋"/>
          <w:b/>
          <w:bCs/>
          <w:sz w:val="32"/>
          <w:szCs w:val="32"/>
          <w:lang w:bidi="zh-CN"/>
        </w:rPr>
        <w:t>附件3</w:t>
      </w:r>
    </w:p>
    <w:p>
      <w:pPr>
        <w:jc w:val="center"/>
        <w:rPr>
          <w:rFonts w:hint="eastAsia" w:ascii="仿宋" w:hAnsi="仿宋" w:eastAsia="仿宋" w:cs="仿宋"/>
          <w:b w:val="0"/>
          <w:bCs w:val="0"/>
          <w:sz w:val="44"/>
          <w:szCs w:val="44"/>
        </w:rPr>
      </w:pPr>
      <w:r>
        <w:rPr>
          <w:rFonts w:hint="eastAsia" w:ascii="仿宋" w:hAnsi="仿宋" w:eastAsia="仿宋" w:cs="仿宋"/>
          <w:b/>
          <w:bCs/>
          <w:sz w:val="44"/>
          <w:szCs w:val="44"/>
        </w:rPr>
        <w:t>评分标准</w:t>
      </w:r>
    </w:p>
    <w:tbl>
      <w:tblPr>
        <w:tblStyle w:val="4"/>
        <w:tblW w:w="10537" w:type="dxa"/>
        <w:tblInd w:w="-1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790"/>
        <w:gridCol w:w="2020"/>
        <w:gridCol w:w="2660"/>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06" w:type="dxa"/>
            <w:gridSpan w:val="2"/>
            <w:noWrap w:val="0"/>
            <w:vAlign w:val="center"/>
          </w:tcPr>
          <w:p>
            <w:pPr>
              <w:tabs>
                <w:tab w:val="left" w:pos="6480"/>
              </w:tabs>
              <w:adjustRightInd w:val="0"/>
              <w:snapToGrid w:val="0"/>
              <w:spacing w:line="4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评分因素</w:t>
            </w:r>
          </w:p>
        </w:tc>
        <w:tc>
          <w:tcPr>
            <w:tcW w:w="2020" w:type="dxa"/>
            <w:noWrap w:val="0"/>
            <w:vAlign w:val="center"/>
          </w:tcPr>
          <w:p>
            <w:pPr>
              <w:tabs>
                <w:tab w:val="left" w:pos="6480"/>
              </w:tabs>
              <w:adjustRightInd w:val="0"/>
              <w:snapToGrid w:val="0"/>
              <w:spacing w:line="4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A 价格</w:t>
            </w:r>
          </w:p>
        </w:tc>
        <w:tc>
          <w:tcPr>
            <w:tcW w:w="2660" w:type="dxa"/>
            <w:noWrap w:val="0"/>
            <w:vAlign w:val="center"/>
          </w:tcPr>
          <w:p>
            <w:pPr>
              <w:tabs>
                <w:tab w:val="left" w:pos="6480"/>
              </w:tabs>
              <w:adjustRightInd w:val="0"/>
              <w:snapToGrid w:val="0"/>
              <w:spacing w:line="4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B 商务</w:t>
            </w:r>
          </w:p>
        </w:tc>
        <w:tc>
          <w:tcPr>
            <w:tcW w:w="2151" w:type="dxa"/>
            <w:noWrap w:val="0"/>
            <w:vAlign w:val="center"/>
          </w:tcPr>
          <w:p>
            <w:pPr>
              <w:tabs>
                <w:tab w:val="left" w:pos="6480"/>
              </w:tabs>
              <w:adjustRightInd w:val="0"/>
              <w:snapToGrid w:val="0"/>
              <w:spacing w:line="4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C 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706" w:type="dxa"/>
            <w:gridSpan w:val="2"/>
            <w:noWrap w:val="0"/>
            <w:vAlign w:val="center"/>
          </w:tcPr>
          <w:p>
            <w:pPr>
              <w:snapToGrid w:val="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权重</w:t>
            </w:r>
          </w:p>
        </w:tc>
        <w:tc>
          <w:tcPr>
            <w:tcW w:w="2020" w:type="dxa"/>
            <w:noWrap w:val="0"/>
            <w:vAlign w:val="center"/>
          </w:tcPr>
          <w:p>
            <w:pPr>
              <w:snapToGrid w:val="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10%</w:t>
            </w:r>
          </w:p>
        </w:tc>
        <w:tc>
          <w:tcPr>
            <w:tcW w:w="2660" w:type="dxa"/>
            <w:noWrap w:val="0"/>
            <w:vAlign w:val="center"/>
          </w:tcPr>
          <w:p>
            <w:pPr>
              <w:snapToGrid w:val="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15%</w:t>
            </w:r>
          </w:p>
        </w:tc>
        <w:tc>
          <w:tcPr>
            <w:tcW w:w="2151" w:type="dxa"/>
            <w:noWrap w:val="0"/>
            <w:vAlign w:val="center"/>
          </w:tcPr>
          <w:p>
            <w:pPr>
              <w:snapToGrid w:val="0"/>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0537" w:type="dxa"/>
            <w:gridSpan w:val="5"/>
            <w:tcBorders>
              <w:left w:val="nil"/>
              <w:bottom w:val="single" w:color="auto" w:sz="4" w:space="0"/>
              <w:right w:val="nil"/>
            </w:tcBorders>
            <w:noWrap w:val="0"/>
            <w:vAlign w:val="center"/>
          </w:tcPr>
          <w:p>
            <w:pPr>
              <w:spacing w:before="156" w:beforeLines="50" w:after="156" w:afterLines="50" w:line="4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A 报价得分评审标准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706" w:type="dxa"/>
            <w:gridSpan w:val="2"/>
            <w:noWrap w:val="0"/>
            <w:vAlign w:val="center"/>
          </w:tcPr>
          <w:p>
            <w:pPr>
              <w:tabs>
                <w:tab w:val="left" w:pos="6480"/>
              </w:tabs>
              <w:adjustRightInd w:val="0"/>
              <w:snapToGrid w:val="0"/>
              <w:spacing w:line="4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评审项目</w:t>
            </w:r>
          </w:p>
        </w:tc>
        <w:tc>
          <w:tcPr>
            <w:tcW w:w="2020" w:type="dxa"/>
            <w:noWrap w:val="0"/>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分值</w:t>
            </w:r>
          </w:p>
        </w:tc>
        <w:tc>
          <w:tcPr>
            <w:tcW w:w="4811" w:type="dxa"/>
            <w:gridSpan w:val="2"/>
            <w:noWrap w:val="0"/>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706" w:type="dxa"/>
            <w:gridSpan w:val="2"/>
            <w:noWrap w:val="0"/>
            <w:vAlign w:val="center"/>
          </w:tcPr>
          <w:p>
            <w:pPr>
              <w:tabs>
                <w:tab w:val="left" w:pos="6480"/>
              </w:tabs>
              <w:adjustRightInd w:val="0"/>
              <w:snapToGrid w:val="0"/>
              <w:spacing w:line="4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报价</w:t>
            </w:r>
          </w:p>
        </w:tc>
        <w:tc>
          <w:tcPr>
            <w:tcW w:w="2020" w:type="dxa"/>
            <w:noWrap w:val="0"/>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10分</w:t>
            </w:r>
          </w:p>
        </w:tc>
        <w:tc>
          <w:tcPr>
            <w:tcW w:w="4811" w:type="dxa"/>
            <w:gridSpan w:val="2"/>
            <w:noWrap w:val="0"/>
            <w:vAlign w:val="center"/>
          </w:tcPr>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基准价为满足邀标文件要求且最后报价最低的供应商的价格，价格分统一按照下列公式计算：报价得分＝（基准价/最后报价）×价格权值×100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0537" w:type="dxa"/>
            <w:gridSpan w:val="5"/>
            <w:tcBorders>
              <w:left w:val="nil"/>
              <w:right w:val="nil"/>
            </w:tcBorders>
            <w:noWrap w:val="0"/>
            <w:vAlign w:val="center"/>
          </w:tcPr>
          <w:p>
            <w:pPr>
              <w:spacing w:before="156" w:beforeLines="50" w:after="156" w:afterLines="50" w:line="44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B 商务评审标准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916" w:type="dxa"/>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序号</w:t>
            </w:r>
          </w:p>
        </w:tc>
        <w:tc>
          <w:tcPr>
            <w:tcW w:w="1790" w:type="dxa"/>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评审项目</w:t>
            </w:r>
          </w:p>
        </w:tc>
        <w:tc>
          <w:tcPr>
            <w:tcW w:w="2020" w:type="dxa"/>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分值</w:t>
            </w:r>
          </w:p>
        </w:tc>
        <w:tc>
          <w:tcPr>
            <w:tcW w:w="4811" w:type="dxa"/>
            <w:gridSpan w:val="2"/>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16" w:type="dxa"/>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一</w:t>
            </w:r>
          </w:p>
        </w:tc>
        <w:tc>
          <w:tcPr>
            <w:tcW w:w="1790" w:type="dxa"/>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供应商</w:t>
            </w:r>
          </w:p>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类似业绩</w:t>
            </w:r>
          </w:p>
        </w:tc>
        <w:tc>
          <w:tcPr>
            <w:tcW w:w="2020" w:type="dxa"/>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10分</w:t>
            </w:r>
          </w:p>
        </w:tc>
        <w:tc>
          <w:tcPr>
            <w:tcW w:w="4811" w:type="dxa"/>
            <w:gridSpan w:val="2"/>
            <w:noWrap w:val="0"/>
            <w:vAlign w:val="center"/>
          </w:tcPr>
          <w:p>
            <w:pPr>
              <w:spacing w:line="264"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2021年5月1日至2024年5月31日，供应商具有承办大型会议会展、网络宣传促销类活动经验，每个合同得1.5分，本项满分10分。</w:t>
            </w:r>
          </w:p>
          <w:p>
            <w:pPr>
              <w:spacing w:line="264" w:lineRule="auto"/>
              <w:rPr>
                <w:rFonts w:hint="eastAsia" w:ascii="仿宋" w:hAnsi="仿宋" w:eastAsia="仿宋" w:cs="仿宋"/>
                <w:b w:val="0"/>
                <w:bCs w:val="0"/>
                <w:sz w:val="32"/>
                <w:szCs w:val="32"/>
              </w:rPr>
            </w:pPr>
            <w:r>
              <w:rPr>
                <w:rFonts w:hint="eastAsia" w:ascii="仿宋" w:hAnsi="仿宋" w:eastAsia="仿宋" w:cs="仿宋"/>
                <w:b/>
                <w:bCs/>
                <w:sz w:val="32"/>
                <w:szCs w:val="32"/>
              </w:rPr>
              <w:t>证明材料：</w:t>
            </w:r>
            <w:r>
              <w:rPr>
                <w:rFonts w:hint="eastAsia" w:ascii="仿宋" w:hAnsi="仿宋" w:eastAsia="仿宋" w:cs="仿宋"/>
                <w:b w:val="0"/>
                <w:bCs w:val="0"/>
                <w:sz w:val="32"/>
                <w:szCs w:val="32"/>
              </w:rPr>
              <w:t>提供会议会展类、网络宣传促销类活动业绩合同关键页复印件或其他相关证明材料复印件并加盖公章，日期以合同签订日期为准，否则不得分。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916" w:type="dxa"/>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二</w:t>
            </w:r>
          </w:p>
        </w:tc>
        <w:tc>
          <w:tcPr>
            <w:tcW w:w="1790" w:type="dxa"/>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专业服务团队人员配备</w:t>
            </w:r>
          </w:p>
        </w:tc>
        <w:tc>
          <w:tcPr>
            <w:tcW w:w="2020" w:type="dxa"/>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5分</w:t>
            </w:r>
          </w:p>
        </w:tc>
        <w:tc>
          <w:tcPr>
            <w:tcW w:w="4811" w:type="dxa"/>
            <w:gridSpan w:val="2"/>
            <w:noWrap w:val="0"/>
            <w:vAlign w:val="center"/>
          </w:tcPr>
          <w:p>
            <w:pPr>
              <w:spacing w:line="276" w:lineRule="auto"/>
              <w:rPr>
                <w:rFonts w:hint="eastAsia" w:ascii="仿宋" w:hAnsi="仿宋" w:eastAsia="仿宋" w:cs="仿宋"/>
                <w:b w:val="0"/>
                <w:bCs w:val="0"/>
                <w:sz w:val="32"/>
                <w:szCs w:val="32"/>
                <w:lang w:val="zh-TW"/>
              </w:rPr>
            </w:pPr>
            <w:r>
              <w:rPr>
                <w:rFonts w:hint="eastAsia" w:ascii="仿宋" w:hAnsi="仿宋" w:eastAsia="仿宋" w:cs="仿宋"/>
                <w:b w:val="0"/>
                <w:bCs w:val="0"/>
                <w:sz w:val="32"/>
                <w:szCs w:val="32"/>
                <w:lang w:val="zh-TW"/>
              </w:rPr>
              <w:t>专业服务团队：</w:t>
            </w:r>
          </w:p>
          <w:p>
            <w:pPr>
              <w:spacing w:line="276" w:lineRule="auto"/>
              <w:ind w:firstLine="640" w:firstLineChars="200"/>
              <w:rPr>
                <w:rFonts w:hint="eastAsia" w:ascii="仿宋" w:hAnsi="仿宋" w:eastAsia="仿宋" w:cs="仿宋"/>
                <w:b w:val="0"/>
                <w:bCs w:val="0"/>
                <w:strike/>
                <w:sz w:val="32"/>
                <w:szCs w:val="32"/>
                <w:lang w:val="zh-TW"/>
              </w:rPr>
            </w:pPr>
            <w:r>
              <w:rPr>
                <w:rFonts w:hint="eastAsia" w:ascii="仿宋" w:hAnsi="仿宋" w:eastAsia="仿宋" w:cs="仿宋"/>
                <w:b w:val="0"/>
                <w:bCs w:val="0"/>
                <w:sz w:val="32"/>
                <w:szCs w:val="32"/>
              </w:rPr>
              <w:t>供应商</w:t>
            </w:r>
            <w:r>
              <w:rPr>
                <w:rFonts w:hint="eastAsia" w:ascii="仿宋" w:hAnsi="仿宋" w:eastAsia="仿宋" w:cs="仿宋"/>
                <w:b w:val="0"/>
                <w:bCs w:val="0"/>
                <w:sz w:val="32"/>
                <w:szCs w:val="32"/>
                <w:lang w:val="zh-TW"/>
              </w:rPr>
              <w:t>拟派本项目专业服务团队，专业、数量、结构配备合理，包括且不少于以下人员及岗位：项目总负责人1名、</w:t>
            </w:r>
            <w:r>
              <w:rPr>
                <w:rFonts w:hint="eastAsia" w:ascii="仿宋" w:hAnsi="仿宋" w:eastAsia="仿宋" w:cs="仿宋"/>
                <w:b w:val="0"/>
                <w:bCs w:val="0"/>
                <w:sz w:val="32"/>
                <w:szCs w:val="32"/>
              </w:rPr>
              <w:t>设备维护保障人员1名，</w:t>
            </w:r>
            <w:r>
              <w:rPr>
                <w:rFonts w:hint="eastAsia" w:ascii="仿宋" w:hAnsi="仿宋" w:eastAsia="仿宋" w:cs="仿宋"/>
                <w:b w:val="0"/>
                <w:bCs w:val="0"/>
                <w:sz w:val="32"/>
                <w:szCs w:val="32"/>
                <w:lang w:bidi="ar"/>
              </w:rPr>
              <w:t>商家及主播负责人2名，</w:t>
            </w:r>
            <w:r>
              <w:rPr>
                <w:rFonts w:hint="eastAsia" w:ascii="仿宋" w:hAnsi="仿宋" w:eastAsia="仿宋" w:cs="仿宋"/>
                <w:b w:val="0"/>
                <w:bCs w:val="0"/>
                <w:sz w:val="32"/>
                <w:szCs w:val="32"/>
                <w:lang w:val="zh-TW"/>
              </w:rPr>
              <w:t>媒体服务负责人</w:t>
            </w:r>
            <w:r>
              <w:rPr>
                <w:rFonts w:hint="eastAsia" w:ascii="仿宋" w:hAnsi="仿宋" w:eastAsia="仿宋" w:cs="仿宋"/>
                <w:b w:val="0"/>
                <w:bCs w:val="0"/>
                <w:sz w:val="32"/>
                <w:szCs w:val="32"/>
              </w:rPr>
              <w:t>1名、</w:t>
            </w:r>
            <w:r>
              <w:rPr>
                <w:rFonts w:hint="eastAsia" w:ascii="仿宋" w:hAnsi="仿宋" w:eastAsia="仿宋" w:cs="仿宋"/>
                <w:b w:val="0"/>
                <w:bCs w:val="0"/>
                <w:sz w:val="32"/>
                <w:szCs w:val="32"/>
                <w:lang w:val="zh-TW"/>
              </w:rPr>
              <w:t>应急保障联系人</w:t>
            </w:r>
            <w:r>
              <w:rPr>
                <w:rFonts w:hint="eastAsia" w:ascii="仿宋" w:hAnsi="仿宋" w:eastAsia="仿宋" w:cs="仿宋"/>
                <w:b w:val="0"/>
                <w:bCs w:val="0"/>
                <w:sz w:val="32"/>
                <w:szCs w:val="32"/>
              </w:rPr>
              <w:t>1名</w:t>
            </w:r>
            <w:r>
              <w:rPr>
                <w:rFonts w:hint="eastAsia" w:ascii="仿宋" w:hAnsi="仿宋" w:eastAsia="仿宋" w:cs="仿宋"/>
                <w:b w:val="0"/>
                <w:bCs w:val="0"/>
                <w:sz w:val="32"/>
                <w:szCs w:val="32"/>
                <w:lang w:val="zh-TW"/>
              </w:rPr>
              <w:t>。</w:t>
            </w:r>
          </w:p>
          <w:p>
            <w:pPr>
              <w:spacing w:line="276" w:lineRule="auto"/>
              <w:ind w:firstLine="640" w:firstLineChars="200"/>
              <w:rPr>
                <w:rFonts w:hint="eastAsia" w:ascii="仿宋" w:hAnsi="仿宋" w:eastAsia="仿宋" w:cs="仿宋"/>
                <w:b w:val="0"/>
                <w:bCs w:val="0"/>
                <w:sz w:val="32"/>
                <w:szCs w:val="32"/>
                <w:lang w:val="zh-TW"/>
              </w:rPr>
            </w:pPr>
            <w:r>
              <w:rPr>
                <w:rFonts w:hint="eastAsia" w:ascii="仿宋" w:hAnsi="仿宋" w:eastAsia="仿宋" w:cs="仿宋"/>
                <w:b w:val="0"/>
                <w:bCs w:val="0"/>
                <w:sz w:val="32"/>
                <w:szCs w:val="32"/>
                <w:lang w:val="zh-TW"/>
              </w:rPr>
              <w:t>根据以上人员人数、学历、专业等情况综合评分，符合岗位需求的为优秀得</w:t>
            </w:r>
            <w:r>
              <w:rPr>
                <w:rFonts w:hint="eastAsia" w:ascii="仿宋" w:hAnsi="仿宋" w:eastAsia="仿宋" w:cs="仿宋"/>
                <w:b w:val="0"/>
                <w:bCs w:val="0"/>
                <w:sz w:val="32"/>
                <w:szCs w:val="32"/>
              </w:rPr>
              <w:t>4-5分，基本符合岗位需求的为良好得2-3分，不符合岗位需求的为差得0-1分；同时</w:t>
            </w:r>
            <w:r>
              <w:rPr>
                <w:rFonts w:hint="eastAsia" w:ascii="仿宋" w:hAnsi="仿宋" w:eastAsia="仿宋" w:cs="仿宋"/>
                <w:b w:val="0"/>
                <w:bCs w:val="0"/>
                <w:sz w:val="32"/>
                <w:szCs w:val="32"/>
                <w:lang w:val="zh-TW"/>
              </w:rPr>
              <w:t>配备每缺一个岗位扣</w:t>
            </w:r>
            <w:r>
              <w:rPr>
                <w:rFonts w:hint="eastAsia" w:ascii="仿宋" w:hAnsi="仿宋" w:eastAsia="仿宋" w:cs="仿宋"/>
                <w:b w:val="0"/>
                <w:bCs w:val="0"/>
                <w:sz w:val="32"/>
                <w:szCs w:val="32"/>
              </w:rPr>
              <w:t>2</w:t>
            </w:r>
            <w:r>
              <w:rPr>
                <w:rFonts w:hint="eastAsia" w:ascii="仿宋" w:hAnsi="仿宋" w:eastAsia="仿宋" w:cs="仿宋"/>
                <w:b w:val="0"/>
                <w:bCs w:val="0"/>
                <w:sz w:val="32"/>
                <w:szCs w:val="32"/>
                <w:lang w:val="zh-TW"/>
              </w:rPr>
              <w:t>分，扣完为止。</w:t>
            </w:r>
          </w:p>
          <w:p>
            <w:pPr>
              <w:spacing w:line="276" w:lineRule="auto"/>
              <w:rPr>
                <w:rFonts w:hint="eastAsia" w:ascii="仿宋" w:hAnsi="仿宋" w:eastAsia="仿宋" w:cs="仿宋"/>
                <w:b w:val="0"/>
                <w:bCs w:val="0"/>
                <w:sz w:val="32"/>
                <w:szCs w:val="32"/>
              </w:rPr>
            </w:pPr>
            <w:r>
              <w:rPr>
                <w:rFonts w:hint="eastAsia" w:ascii="仿宋" w:hAnsi="仿宋" w:eastAsia="仿宋" w:cs="仿宋"/>
                <w:b/>
                <w:bCs/>
                <w:sz w:val="32"/>
                <w:szCs w:val="32"/>
                <w:lang w:val="zh-TW"/>
              </w:rPr>
              <w:t>证明材料：</w:t>
            </w:r>
            <w:r>
              <w:rPr>
                <w:rFonts w:hint="eastAsia" w:ascii="仿宋" w:hAnsi="仿宋" w:eastAsia="仿宋" w:cs="仿宋"/>
                <w:b w:val="0"/>
                <w:bCs w:val="0"/>
                <w:sz w:val="32"/>
                <w:szCs w:val="32"/>
              </w:rPr>
              <w:t>需</w:t>
            </w:r>
            <w:r>
              <w:rPr>
                <w:rFonts w:hint="eastAsia" w:ascii="仿宋" w:hAnsi="仿宋" w:eastAsia="仿宋" w:cs="仿宋"/>
                <w:b w:val="0"/>
                <w:bCs w:val="0"/>
                <w:sz w:val="32"/>
                <w:szCs w:val="32"/>
                <w:lang w:val="zh-TW"/>
              </w:rPr>
              <w:t>提供上述人员名单，</w:t>
            </w:r>
            <w:r>
              <w:rPr>
                <w:rFonts w:hint="eastAsia" w:ascii="仿宋" w:hAnsi="仿宋" w:eastAsia="仿宋" w:cs="仿宋"/>
                <w:b w:val="0"/>
                <w:bCs w:val="0"/>
                <w:sz w:val="32"/>
                <w:szCs w:val="32"/>
              </w:rPr>
              <w:t>身份证</w:t>
            </w:r>
            <w:r>
              <w:rPr>
                <w:rFonts w:hint="eastAsia" w:ascii="仿宋" w:hAnsi="仿宋" w:eastAsia="仿宋" w:cs="仿宋"/>
                <w:b w:val="0"/>
                <w:bCs w:val="0"/>
                <w:sz w:val="32"/>
                <w:szCs w:val="32"/>
                <w:lang w:val="zh-TW"/>
              </w:rPr>
              <w:t>复印件，</w:t>
            </w:r>
            <w:r>
              <w:rPr>
                <w:rFonts w:hint="eastAsia" w:ascii="仿宋" w:hAnsi="仿宋" w:eastAsia="仿宋" w:cs="仿宋"/>
                <w:b w:val="0"/>
                <w:bCs w:val="0"/>
                <w:sz w:val="32"/>
                <w:szCs w:val="32"/>
              </w:rPr>
              <w:t>学历等相关材料，加盖公章；提供缴纳社保承诺函（格式自拟，供应商承诺函不实的，将依照有关法律法规追究法律责任。）不提供不得分</w:t>
            </w:r>
            <w:r>
              <w:rPr>
                <w:rFonts w:hint="eastAsia" w:ascii="仿宋" w:hAnsi="仿宋" w:eastAsia="仿宋" w:cs="仿宋"/>
                <w:b w:val="0"/>
                <w:bCs w:val="0"/>
                <w:sz w:val="32"/>
                <w:szCs w:val="32"/>
                <w:lang w:val="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0537" w:type="dxa"/>
            <w:gridSpan w:val="5"/>
            <w:tcBorders>
              <w:top w:val="nil"/>
              <w:left w:val="nil"/>
              <w:right w:val="nil"/>
            </w:tcBorders>
            <w:noWrap w:val="0"/>
            <w:vAlign w:val="center"/>
          </w:tcPr>
          <w:p>
            <w:pPr>
              <w:spacing w:line="276" w:lineRule="auto"/>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C 技术评审标准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1916" w:type="dxa"/>
            <w:vMerge w:val="restart"/>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三</w:t>
            </w:r>
          </w:p>
        </w:tc>
        <w:tc>
          <w:tcPr>
            <w:tcW w:w="1790" w:type="dxa"/>
            <w:vMerge w:val="restart"/>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zh-TW"/>
              </w:rPr>
              <w:t>项目策划实施方案</w:t>
            </w:r>
          </w:p>
        </w:tc>
        <w:tc>
          <w:tcPr>
            <w:tcW w:w="2020" w:type="dxa"/>
            <w:vMerge w:val="restart"/>
            <w:noWrap w:val="0"/>
            <w:vAlign w:val="center"/>
          </w:tcPr>
          <w:p>
            <w:pPr>
              <w:jc w:val="center"/>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55分</w:t>
            </w:r>
          </w:p>
        </w:tc>
        <w:tc>
          <w:tcPr>
            <w:tcW w:w="4811" w:type="dxa"/>
            <w:gridSpan w:val="2"/>
            <w:noWrap w:val="0"/>
            <w:vAlign w:val="top"/>
          </w:tcPr>
          <w:p>
            <w:pPr>
              <w:numPr>
                <w:ilvl w:val="0"/>
                <w:numId w:val="1"/>
              </w:num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根据供应商提供的总体策划方案及组织措施进行综合评价：（满分10分）</w:t>
            </w:r>
          </w:p>
          <w:p>
            <w:pPr>
              <w:pStyle w:val="2"/>
              <w:ind w:left="640" w:leftChars="200" w:firstLine="0" w:firstLineChars="0"/>
              <w:rPr>
                <w:rFonts w:hint="eastAsia" w:ascii="仿宋" w:hAnsi="仿宋" w:eastAsia="仿宋" w:cs="仿宋"/>
                <w:b w:val="0"/>
                <w:bCs w:val="0"/>
              </w:rPr>
            </w:pPr>
            <w:r>
              <w:rPr>
                <w:rFonts w:hint="eastAsia" w:ascii="仿宋" w:hAnsi="仿宋" w:eastAsia="仿宋" w:cs="仿宋"/>
                <w:b w:val="0"/>
                <w:bCs w:val="0"/>
                <w:sz w:val="32"/>
                <w:szCs w:val="32"/>
              </w:rPr>
              <w:t xml:space="preserve">  总体方案含启动仪式、组织20场企业网络直播促销活动、海南好物走进北京京东总部展陈、开展4场直播等相关内容。</w:t>
            </w:r>
          </w:p>
          <w:p>
            <w:pPr>
              <w:spacing w:line="500" w:lineRule="exac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①总体策划方案清晰、合理、全面、实用、创新，且具有重点针对性的为优秀得7-10分；</w:t>
            </w:r>
          </w:p>
          <w:p>
            <w:pPr>
              <w:spacing w:line="500" w:lineRule="exac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②总体策划方案完整，但不具备针对性的为良好得3-6分；</w:t>
            </w:r>
          </w:p>
          <w:p>
            <w:pPr>
              <w:spacing w:line="500" w:lineRule="exac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③总体策划方案不完整或存在重大缺陷的为差得0-2分。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16" w:type="dxa"/>
            <w:vMerge w:val="continue"/>
            <w:noWrap w:val="0"/>
            <w:vAlign w:val="center"/>
          </w:tcPr>
          <w:p>
            <w:pPr>
              <w:jc w:val="center"/>
              <w:rPr>
                <w:rFonts w:hint="eastAsia" w:ascii="仿宋" w:hAnsi="仿宋" w:eastAsia="仿宋" w:cs="仿宋"/>
                <w:b w:val="0"/>
                <w:bCs w:val="0"/>
                <w:kern w:val="0"/>
                <w:sz w:val="32"/>
                <w:szCs w:val="32"/>
              </w:rPr>
            </w:pPr>
          </w:p>
        </w:tc>
        <w:tc>
          <w:tcPr>
            <w:tcW w:w="1790" w:type="dxa"/>
            <w:vMerge w:val="continue"/>
            <w:noWrap w:val="0"/>
            <w:vAlign w:val="center"/>
          </w:tcPr>
          <w:p>
            <w:pPr>
              <w:jc w:val="center"/>
              <w:rPr>
                <w:rFonts w:hint="eastAsia" w:ascii="仿宋" w:hAnsi="仿宋" w:eastAsia="仿宋" w:cs="仿宋"/>
                <w:b w:val="0"/>
                <w:bCs w:val="0"/>
                <w:kern w:val="0"/>
                <w:sz w:val="32"/>
                <w:szCs w:val="32"/>
                <w:lang w:val="zh-TW"/>
              </w:rPr>
            </w:pPr>
          </w:p>
        </w:tc>
        <w:tc>
          <w:tcPr>
            <w:tcW w:w="2020" w:type="dxa"/>
            <w:vMerge w:val="continue"/>
            <w:noWrap w:val="0"/>
            <w:vAlign w:val="center"/>
          </w:tcPr>
          <w:p>
            <w:pPr>
              <w:jc w:val="center"/>
              <w:rPr>
                <w:rFonts w:hint="eastAsia" w:ascii="仿宋" w:hAnsi="仿宋" w:eastAsia="仿宋" w:cs="仿宋"/>
                <w:b w:val="0"/>
                <w:bCs w:val="0"/>
                <w:kern w:val="0"/>
                <w:sz w:val="32"/>
                <w:szCs w:val="32"/>
              </w:rPr>
            </w:pPr>
          </w:p>
        </w:tc>
        <w:tc>
          <w:tcPr>
            <w:tcW w:w="4811" w:type="dxa"/>
            <w:gridSpan w:val="2"/>
            <w:noWrap w:val="0"/>
            <w:vAlign w:val="top"/>
          </w:tcPr>
          <w:p>
            <w:pPr>
              <w:numPr>
                <w:ilvl w:val="0"/>
                <w:numId w:val="1"/>
              </w:numPr>
              <w:adjustRightInd w:val="0"/>
              <w:snapToGrid w:val="0"/>
              <w:spacing w:line="500" w:lineRule="exact"/>
              <w:rPr>
                <w:rFonts w:hint="eastAsia" w:ascii="仿宋" w:hAnsi="仿宋" w:eastAsia="仿宋" w:cs="仿宋"/>
                <w:b w:val="0"/>
                <w:bCs w:val="0"/>
              </w:rPr>
            </w:pPr>
            <w:r>
              <w:rPr>
                <w:rFonts w:hint="eastAsia" w:ascii="仿宋" w:hAnsi="仿宋" w:eastAsia="仿宋" w:cs="仿宋"/>
                <w:b w:val="0"/>
                <w:bCs w:val="0"/>
                <w:sz w:val="32"/>
                <w:szCs w:val="32"/>
              </w:rPr>
              <w:t>根据供应商提供的现场活动、视觉效果图设计等方案，包括启动仪式、公共直播间布置、海南好物走进京东总部展陈设计效果图，进行综合评价：（满分10分）</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①方案针对本项目的设计理念及策划方案内容完整合理且可实施性强，优秀得7-10分；</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②方案针对本项目的设计理念及策划方案内容完整合理且具有可实施性，但无针对性为良好得3-6分；</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③方案有重大缺项，6场现场活动无明显变动，活动无鲜明特点为差得0-2分。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916" w:type="dxa"/>
            <w:vMerge w:val="continue"/>
            <w:noWrap w:val="0"/>
            <w:vAlign w:val="center"/>
          </w:tcPr>
          <w:p>
            <w:pPr>
              <w:jc w:val="center"/>
              <w:rPr>
                <w:rFonts w:hint="eastAsia" w:ascii="仿宋" w:hAnsi="仿宋" w:eastAsia="仿宋" w:cs="仿宋"/>
                <w:b w:val="0"/>
                <w:bCs w:val="0"/>
                <w:kern w:val="0"/>
                <w:sz w:val="32"/>
                <w:szCs w:val="32"/>
              </w:rPr>
            </w:pPr>
          </w:p>
        </w:tc>
        <w:tc>
          <w:tcPr>
            <w:tcW w:w="1790" w:type="dxa"/>
            <w:vMerge w:val="continue"/>
            <w:noWrap w:val="0"/>
            <w:vAlign w:val="center"/>
          </w:tcPr>
          <w:p>
            <w:pPr>
              <w:jc w:val="center"/>
              <w:rPr>
                <w:rFonts w:hint="eastAsia" w:ascii="仿宋" w:hAnsi="仿宋" w:eastAsia="仿宋" w:cs="仿宋"/>
                <w:b w:val="0"/>
                <w:bCs w:val="0"/>
                <w:kern w:val="0"/>
                <w:sz w:val="32"/>
                <w:szCs w:val="32"/>
                <w:lang w:val="zh-TW"/>
              </w:rPr>
            </w:pPr>
          </w:p>
        </w:tc>
        <w:tc>
          <w:tcPr>
            <w:tcW w:w="2020" w:type="dxa"/>
            <w:vMerge w:val="continue"/>
            <w:noWrap w:val="0"/>
            <w:vAlign w:val="center"/>
          </w:tcPr>
          <w:p>
            <w:pPr>
              <w:jc w:val="center"/>
              <w:rPr>
                <w:rFonts w:hint="eastAsia" w:ascii="仿宋" w:hAnsi="仿宋" w:eastAsia="仿宋" w:cs="仿宋"/>
                <w:b w:val="0"/>
                <w:bCs w:val="0"/>
                <w:kern w:val="0"/>
                <w:sz w:val="32"/>
                <w:szCs w:val="32"/>
              </w:rPr>
            </w:pPr>
          </w:p>
        </w:tc>
        <w:tc>
          <w:tcPr>
            <w:tcW w:w="4811" w:type="dxa"/>
            <w:gridSpan w:val="2"/>
            <w:noWrap w:val="0"/>
            <w:vAlign w:val="top"/>
          </w:tcPr>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（三）根据供应商提供的应急保障方案进行综合评价：（满分10分）</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根据《用户需求书》中活动拟定应急保障方案，方案内容包括实施全过程中突发状况（含舆情）分析及应急处置方案、消防安全、安全保卫等工作。</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①方案全面，充分考虑各项活动全过程可能发生的突发状况，提出重点发生情境及有效应急保障措施的为优秀得5分；</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②方案比较全面，针对各项活动提出基本的应急保障措施的为良好得3-4分；</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③方案存在缺陷，未针对各项活动可能发生的突发状况进行分析并提出有效措施，可实施性不强的为差得0-2分。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16" w:type="dxa"/>
            <w:vMerge w:val="continue"/>
            <w:noWrap w:val="0"/>
            <w:vAlign w:val="center"/>
          </w:tcPr>
          <w:p>
            <w:pPr>
              <w:jc w:val="center"/>
              <w:rPr>
                <w:rFonts w:hint="eastAsia" w:ascii="仿宋" w:hAnsi="仿宋" w:eastAsia="仿宋" w:cs="仿宋"/>
                <w:b w:val="0"/>
                <w:bCs w:val="0"/>
                <w:kern w:val="0"/>
                <w:sz w:val="32"/>
                <w:szCs w:val="32"/>
              </w:rPr>
            </w:pPr>
          </w:p>
        </w:tc>
        <w:tc>
          <w:tcPr>
            <w:tcW w:w="1790" w:type="dxa"/>
            <w:vMerge w:val="continue"/>
            <w:noWrap w:val="0"/>
            <w:vAlign w:val="center"/>
          </w:tcPr>
          <w:p>
            <w:pPr>
              <w:jc w:val="center"/>
              <w:rPr>
                <w:rFonts w:hint="eastAsia" w:ascii="仿宋" w:hAnsi="仿宋" w:eastAsia="仿宋" w:cs="仿宋"/>
                <w:b w:val="0"/>
                <w:bCs w:val="0"/>
                <w:kern w:val="0"/>
                <w:sz w:val="32"/>
                <w:szCs w:val="32"/>
                <w:lang w:val="zh-TW"/>
              </w:rPr>
            </w:pPr>
          </w:p>
        </w:tc>
        <w:tc>
          <w:tcPr>
            <w:tcW w:w="2020" w:type="dxa"/>
            <w:vMerge w:val="continue"/>
            <w:noWrap w:val="0"/>
            <w:vAlign w:val="center"/>
          </w:tcPr>
          <w:p>
            <w:pPr>
              <w:jc w:val="center"/>
              <w:rPr>
                <w:rFonts w:hint="eastAsia" w:ascii="仿宋" w:hAnsi="仿宋" w:eastAsia="仿宋" w:cs="仿宋"/>
                <w:b w:val="0"/>
                <w:bCs w:val="0"/>
                <w:kern w:val="0"/>
                <w:sz w:val="32"/>
                <w:szCs w:val="32"/>
              </w:rPr>
            </w:pPr>
          </w:p>
        </w:tc>
        <w:tc>
          <w:tcPr>
            <w:tcW w:w="4811" w:type="dxa"/>
            <w:gridSpan w:val="2"/>
            <w:noWrap w:val="0"/>
            <w:vAlign w:val="top"/>
          </w:tcPr>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（四）根据供应商提供的宣传推广计划及措施进行综合评价：（满分15分）</w:t>
            </w:r>
          </w:p>
          <w:p>
            <w:pPr>
              <w:spacing w:line="500" w:lineRule="exact"/>
              <w:rPr>
                <w:rFonts w:hint="eastAsia" w:ascii="仿宋" w:hAnsi="仿宋" w:eastAsia="仿宋" w:cs="仿宋"/>
                <w:b w:val="0"/>
                <w:bCs w:val="0"/>
                <w:kern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kern w:val="0"/>
                <w:sz w:val="32"/>
                <w:szCs w:val="32"/>
              </w:rPr>
              <w:t>宣传推广实施</w:t>
            </w:r>
            <w:r>
              <w:rPr>
                <w:rFonts w:hint="eastAsia" w:ascii="仿宋" w:hAnsi="仿宋" w:eastAsia="仿宋" w:cs="仿宋"/>
                <w:b w:val="0"/>
                <w:bCs w:val="0"/>
                <w:sz w:val="32"/>
                <w:szCs w:val="32"/>
              </w:rPr>
              <w:t>平台：（满分10分）</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①供应商使用自有宣传推广服务平台宣传本项目的每个得2分；</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②供应商使用合作协议方式由第三方平台宣传本次系列活动的每个得1分，最高得10分；本项满分10分。</w:t>
            </w:r>
          </w:p>
          <w:p>
            <w:pPr>
              <w:rPr>
                <w:rFonts w:hint="eastAsia" w:ascii="仿宋" w:hAnsi="仿宋" w:eastAsia="仿宋" w:cs="仿宋"/>
                <w:b w:val="0"/>
                <w:bCs w:val="0"/>
              </w:rPr>
            </w:pPr>
            <w:r>
              <w:rPr>
                <w:rFonts w:hint="eastAsia" w:ascii="仿宋" w:hAnsi="仿宋" w:eastAsia="仿宋" w:cs="仿宋"/>
                <w:b/>
                <w:bCs/>
                <w:sz w:val="32"/>
                <w:szCs w:val="32"/>
              </w:rPr>
              <w:t>证明材料：</w:t>
            </w:r>
            <w:r>
              <w:rPr>
                <w:rFonts w:hint="eastAsia" w:ascii="仿宋" w:hAnsi="仿宋" w:eastAsia="仿宋" w:cs="仿宋"/>
                <w:b w:val="0"/>
                <w:bCs w:val="0"/>
                <w:sz w:val="32"/>
                <w:szCs w:val="32"/>
              </w:rPr>
              <w:t>自有媒体平台的证明材料、宣传平台合作协议复印件加盖公章；推广服务平台指具有独立法人资格的宣传媒体。</w:t>
            </w:r>
          </w:p>
          <w:p>
            <w:pPr>
              <w:spacing w:line="500" w:lineRule="exact"/>
              <w:rPr>
                <w:rFonts w:hint="eastAsia" w:ascii="仿宋" w:hAnsi="仿宋" w:eastAsia="仿宋" w:cs="仿宋"/>
                <w:b w:val="0"/>
                <w:bCs w:val="0"/>
                <w:sz w:val="32"/>
                <w:szCs w:val="32"/>
              </w:rPr>
            </w:pPr>
            <w:r>
              <w:rPr>
                <w:rFonts w:hint="eastAsia" w:ascii="仿宋" w:hAnsi="仿宋" w:eastAsia="仿宋" w:cs="仿宋"/>
                <w:b w:val="0"/>
                <w:bCs w:val="0"/>
                <w:kern w:val="0"/>
                <w:sz w:val="32"/>
                <w:szCs w:val="32"/>
              </w:rPr>
              <w:t>（2）宣传推广实施计划：</w:t>
            </w:r>
            <w:r>
              <w:rPr>
                <w:rFonts w:hint="eastAsia" w:ascii="仿宋" w:hAnsi="仿宋" w:eastAsia="仿宋" w:cs="仿宋"/>
                <w:b w:val="0"/>
                <w:bCs w:val="0"/>
                <w:sz w:val="32"/>
                <w:szCs w:val="32"/>
              </w:rPr>
              <w:t>（满分5分）</w:t>
            </w:r>
          </w:p>
          <w:p>
            <w:pPr>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①计划详尽，媒体平台资源丰富，宣传力度强，影响面广，为优秀得4-5分；</w:t>
            </w:r>
          </w:p>
          <w:p>
            <w:pPr>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②计划比较全面，媒体平台统筹能力一般，为良好得2-3分；</w:t>
            </w:r>
          </w:p>
          <w:p>
            <w:pPr>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③计划具有明显缺陷，媒体统筹能力不能满足项目需要的为差得0-1分；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5" w:hRule="atLeast"/>
        </w:trPr>
        <w:tc>
          <w:tcPr>
            <w:tcW w:w="1916" w:type="dxa"/>
            <w:vMerge w:val="continue"/>
            <w:noWrap w:val="0"/>
            <w:vAlign w:val="center"/>
          </w:tcPr>
          <w:p>
            <w:pPr>
              <w:jc w:val="center"/>
              <w:rPr>
                <w:rFonts w:hint="eastAsia" w:ascii="仿宋" w:hAnsi="仿宋" w:eastAsia="仿宋" w:cs="仿宋"/>
                <w:b w:val="0"/>
                <w:bCs w:val="0"/>
                <w:kern w:val="0"/>
                <w:sz w:val="32"/>
                <w:szCs w:val="32"/>
              </w:rPr>
            </w:pPr>
          </w:p>
        </w:tc>
        <w:tc>
          <w:tcPr>
            <w:tcW w:w="1790" w:type="dxa"/>
            <w:vMerge w:val="continue"/>
            <w:noWrap w:val="0"/>
            <w:vAlign w:val="center"/>
          </w:tcPr>
          <w:p>
            <w:pPr>
              <w:jc w:val="center"/>
              <w:rPr>
                <w:rFonts w:hint="eastAsia" w:ascii="仿宋" w:hAnsi="仿宋" w:eastAsia="仿宋" w:cs="仿宋"/>
                <w:b w:val="0"/>
                <w:bCs w:val="0"/>
                <w:kern w:val="0"/>
                <w:sz w:val="32"/>
                <w:szCs w:val="32"/>
                <w:lang w:val="zh-TW"/>
              </w:rPr>
            </w:pPr>
          </w:p>
        </w:tc>
        <w:tc>
          <w:tcPr>
            <w:tcW w:w="2020" w:type="dxa"/>
            <w:vMerge w:val="continue"/>
            <w:noWrap w:val="0"/>
            <w:vAlign w:val="center"/>
          </w:tcPr>
          <w:p>
            <w:pPr>
              <w:jc w:val="center"/>
              <w:rPr>
                <w:rFonts w:hint="eastAsia" w:ascii="仿宋" w:hAnsi="仿宋" w:eastAsia="仿宋" w:cs="仿宋"/>
                <w:b w:val="0"/>
                <w:bCs w:val="0"/>
                <w:kern w:val="0"/>
                <w:sz w:val="32"/>
                <w:szCs w:val="32"/>
              </w:rPr>
            </w:pPr>
          </w:p>
        </w:tc>
        <w:tc>
          <w:tcPr>
            <w:tcW w:w="4811" w:type="dxa"/>
            <w:gridSpan w:val="2"/>
            <w:noWrap w:val="0"/>
            <w:vAlign w:val="top"/>
          </w:tcPr>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（五）根据供应商提供的针对本项目的各项服务承诺进行综合评价：（满分</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rPr>
              <w:t>分）</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①服务承诺完整、详细，并提供佐证或说明材料证明其承诺具有可实施性的为优秀得7-10分；</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②服务承诺完整、有效，未提供佐证或说明证明其承诺具有可实施性的为良好得4-7分；</w:t>
            </w:r>
          </w:p>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③未提供服务承诺或服务承诺存在缺陷的为差得1-3分。</w:t>
            </w:r>
          </w:p>
          <w:p>
            <w:pPr>
              <w:adjustRightInd w:val="0"/>
              <w:snapToGrid w:val="0"/>
              <w:spacing w:line="500" w:lineRule="exact"/>
              <w:rPr>
                <w:rFonts w:hint="eastAsia" w:ascii="仿宋" w:hAnsi="仿宋" w:eastAsia="仿宋" w:cs="仿宋"/>
                <w:b w:val="0"/>
                <w:bCs w:val="0"/>
              </w:rPr>
            </w:pPr>
            <w:r>
              <w:rPr>
                <w:rFonts w:hint="eastAsia" w:ascii="仿宋" w:hAnsi="仿宋" w:eastAsia="仿宋" w:cs="仿宋"/>
                <w:b/>
                <w:bCs/>
                <w:sz w:val="32"/>
                <w:szCs w:val="32"/>
              </w:rPr>
              <w:t>证明材料：</w:t>
            </w:r>
            <w:r>
              <w:rPr>
                <w:rFonts w:hint="eastAsia" w:ascii="仿宋" w:hAnsi="仿宋" w:eastAsia="仿宋" w:cs="仿宋"/>
                <w:b w:val="0"/>
                <w:bCs w:val="0"/>
                <w:sz w:val="32"/>
                <w:szCs w:val="32"/>
              </w:rPr>
              <w:t>1.履约服务承诺；2.廉洁承诺；3.响应用户需求的承诺；4.无违法、失信行为的承诺；5.供应商认为有必要提供的其他承诺或证明材料。承诺书格式自拟。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16" w:type="dxa"/>
            <w:noWrap w:val="0"/>
            <w:vAlign w:val="center"/>
          </w:tcPr>
          <w:p>
            <w:pPr>
              <w:adjustRightInd w:val="0"/>
              <w:snapToGrid w:val="0"/>
              <w:spacing w:line="5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四</w:t>
            </w:r>
          </w:p>
        </w:tc>
        <w:tc>
          <w:tcPr>
            <w:tcW w:w="1790" w:type="dxa"/>
            <w:noWrap w:val="0"/>
            <w:vAlign w:val="center"/>
          </w:tcPr>
          <w:p>
            <w:pPr>
              <w:adjustRightInd w:val="0"/>
              <w:snapToGrid w:val="0"/>
              <w:spacing w:line="500" w:lineRule="exact"/>
              <w:jc w:val="center"/>
              <w:rPr>
                <w:rFonts w:hint="eastAsia" w:ascii="仿宋" w:hAnsi="仿宋" w:eastAsia="仿宋" w:cs="仿宋"/>
                <w:b w:val="0"/>
                <w:bCs w:val="0"/>
                <w:sz w:val="32"/>
                <w:szCs w:val="32"/>
                <w:lang w:val="zh-TW"/>
              </w:rPr>
            </w:pPr>
            <w:r>
              <w:rPr>
                <w:rFonts w:hint="eastAsia" w:ascii="仿宋" w:hAnsi="仿宋" w:eastAsia="仿宋" w:cs="仿宋"/>
                <w:b w:val="0"/>
                <w:bCs w:val="0"/>
                <w:sz w:val="32"/>
                <w:szCs w:val="32"/>
                <w:lang w:val="zh-TW"/>
              </w:rPr>
              <w:t>团队综合服务能力</w:t>
            </w:r>
          </w:p>
        </w:tc>
        <w:tc>
          <w:tcPr>
            <w:tcW w:w="2020" w:type="dxa"/>
            <w:noWrap w:val="0"/>
            <w:vAlign w:val="center"/>
          </w:tcPr>
          <w:p>
            <w:pPr>
              <w:adjustRightInd w:val="0"/>
              <w:snapToGrid w:val="0"/>
              <w:spacing w:line="50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20</w:t>
            </w:r>
          </w:p>
        </w:tc>
        <w:tc>
          <w:tcPr>
            <w:tcW w:w="4811" w:type="dxa"/>
            <w:gridSpan w:val="2"/>
            <w:noWrap w:val="0"/>
            <w:vAlign w:val="top"/>
          </w:tcPr>
          <w:p>
            <w:pPr>
              <w:adjustRightInd w:val="0"/>
              <w:snapToGrid w:val="0"/>
              <w:spacing w:line="500" w:lineRule="exact"/>
              <w:rPr>
                <w:rFonts w:hint="eastAsia" w:ascii="仿宋" w:hAnsi="仿宋" w:eastAsia="仿宋" w:cs="仿宋"/>
                <w:b w:val="0"/>
                <w:bCs w:val="0"/>
                <w:sz w:val="32"/>
                <w:szCs w:val="32"/>
              </w:rPr>
            </w:pPr>
            <w:r>
              <w:rPr>
                <w:rFonts w:hint="eastAsia" w:ascii="仿宋" w:hAnsi="仿宋" w:eastAsia="仿宋" w:cs="仿宋"/>
                <w:b w:val="0"/>
                <w:bCs w:val="0"/>
                <w:sz w:val="32"/>
                <w:szCs w:val="32"/>
              </w:rPr>
              <w:t>1.投标人具有较强的商家、主播组织协调能力，能够统筹海南商超、汽车销售、餐饮企业、电商平台、电商企业、酒店、景区等资源积极参与本次活动，提供的企业、主播名单具有区域代表性。证明材料：邀请企业清单, 满足15家企业后得7分，每新增1家企业得0.5分，最高得10分，企业名单由投标人自行获得。邀请主播清单, 满足15名主播后得7分，每新增1名主播得0.5分，最高得10分，主播名单由投标人自行获得。</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2C958"/>
    <w:multiLevelType w:val="singleLevel"/>
    <w:tmpl w:val="0CB2C9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WU3MjFlMzY2ZGQ5MmE2MjZkMzZlOTRlMjg0ZjEifQ=="/>
  </w:docVars>
  <w:rsids>
    <w:rsidRoot w:val="0A053230"/>
    <w:rsid w:val="0A05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eastAsia="仿宋_GB2312"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ind w:left="0" w:leftChars="0" w:firstLine="420" w:firstLineChars="200"/>
      <w:jc w:val="left"/>
    </w:pPr>
    <w:rPr>
      <w:rFonts w:ascii="Calibri" w:hAnsi="Calibri" w:eastAsia="宋体" w:cs="Times New Roman"/>
      <w:kern w:val="2"/>
      <w:sz w:val="24"/>
    </w:rPr>
  </w:style>
  <w:style w:type="paragraph" w:styleId="3">
    <w:name w:val="Body Text Indent"/>
    <w:basedOn w:val="1"/>
    <w:next w:val="2"/>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2024-05-29T09:28:00Z</dcterms:created>
  <dc:creator>Sherman~</dc:creator>
  <cp:lastModifiedBy>Sherman~</cp:lastModifiedBy>
  <dcterms:modified xsi:type="dcterms:W3CDTF">2024-05-29T09:28:33Z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C15A55416C8F43E29C295184F071E7CF_11</vt:lpwstr>
  </property>
</Properties>
</file>