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FC6C">
      <w:pPr>
        <w:pStyle w:val="2"/>
        <w:widowControl/>
        <w:ind w:left="0"/>
        <w:rPr>
          <w:rFonts w:hint="eastAsia" w:ascii="黑体" w:hAnsi="宋体" w:eastAsia="黑体" w:cs="黑体"/>
          <w:b/>
          <w:bCs/>
          <w:kern w:val="0"/>
          <w:sz w:val="32"/>
          <w:szCs w:val="32"/>
        </w:rPr>
      </w:pPr>
      <w:r>
        <w:rPr>
          <w:rFonts w:hint="eastAsia" w:ascii="黑体" w:hAnsi="宋体" w:eastAsia="黑体" w:cs="黑体"/>
          <w:b/>
          <w:bCs/>
          <w:kern w:val="0"/>
          <w:sz w:val="32"/>
          <w:szCs w:val="32"/>
        </w:rPr>
        <w:t>附件2</w:t>
      </w:r>
    </w:p>
    <w:p w14:paraId="72A5C28C">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rPr>
      </w:pP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b/>
          <w:bCs/>
          <w:kern w:val="2"/>
          <w:sz w:val="44"/>
          <w:szCs w:val="44"/>
          <w:lang w:val="en-US" w:eastAsia="zh-CN" w:bidi="ar"/>
        </w:rPr>
        <w:t xml:space="preserve">  评分标准</w:t>
      </w:r>
    </w:p>
    <w:tbl>
      <w:tblPr>
        <w:tblStyle w:val="5"/>
        <w:tblW w:w="52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1"/>
        <w:gridCol w:w="1718"/>
        <w:gridCol w:w="39"/>
        <w:gridCol w:w="875"/>
        <w:gridCol w:w="1411"/>
        <w:gridCol w:w="1782"/>
        <w:gridCol w:w="2293"/>
      </w:tblGrid>
      <w:tr w14:paraId="4660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4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0663D2">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评分因素</w:t>
            </w:r>
          </w:p>
        </w:tc>
        <w:tc>
          <w:tcPr>
            <w:tcW w:w="13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984FCB">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A 价格</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14:paraId="00B78386">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B 商务</w:t>
            </w:r>
          </w:p>
        </w:tc>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0C8FC066">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C 技术</w:t>
            </w:r>
          </w:p>
        </w:tc>
      </w:tr>
      <w:tr w14:paraId="0390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14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11C15F">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权重</w:t>
            </w:r>
          </w:p>
        </w:tc>
        <w:tc>
          <w:tcPr>
            <w:tcW w:w="13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973002">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20%</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14:paraId="4603123C">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25%</w:t>
            </w:r>
          </w:p>
        </w:tc>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599F3556">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55%</w:t>
            </w:r>
          </w:p>
        </w:tc>
      </w:tr>
      <w:tr w14:paraId="17F9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9" w:hRule="atLeast"/>
        </w:trPr>
        <w:tc>
          <w:tcPr>
            <w:tcW w:w="5000" w:type="pct"/>
            <w:gridSpan w:val="7"/>
            <w:tcBorders>
              <w:top w:val="single" w:color="auto" w:sz="4" w:space="0"/>
              <w:left w:val="nil"/>
              <w:bottom w:val="single" w:color="auto" w:sz="4" w:space="0"/>
              <w:right w:val="nil"/>
            </w:tcBorders>
            <w:shd w:val="clear" w:color="auto" w:fill="auto"/>
            <w:vAlign w:val="center"/>
          </w:tcPr>
          <w:p w14:paraId="4A4BDD59">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A 报价得分评审标准</w:t>
            </w:r>
          </w:p>
        </w:tc>
      </w:tr>
      <w:tr w14:paraId="6C7F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4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0E45F">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评审项目</w:t>
            </w:r>
          </w:p>
        </w:tc>
        <w:tc>
          <w:tcPr>
            <w:tcW w:w="23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87FDC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评审标准</w:t>
            </w:r>
          </w:p>
        </w:tc>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39E111C0">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分值</w:t>
            </w:r>
          </w:p>
        </w:tc>
      </w:tr>
      <w:tr w14:paraId="6A17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14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A6CF0">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报价</w:t>
            </w:r>
          </w:p>
        </w:tc>
        <w:tc>
          <w:tcPr>
            <w:tcW w:w="23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41076C">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基准价为满足邀标文件要求且最后报价最低的供应商的价格，价格分统一按照下列公式计算：报价得分＝（基准价/最后报价）×价格权值×100</w:t>
            </w:r>
          </w:p>
        </w:tc>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14:paraId="1BBD4564">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20</w:t>
            </w:r>
          </w:p>
        </w:tc>
      </w:tr>
      <w:tr w14:paraId="03E6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trPr>
        <w:tc>
          <w:tcPr>
            <w:tcW w:w="5000" w:type="pct"/>
            <w:gridSpan w:val="7"/>
            <w:tcBorders>
              <w:top w:val="single" w:color="auto" w:sz="4" w:space="0"/>
              <w:left w:val="nil"/>
              <w:bottom w:val="single" w:color="auto" w:sz="4" w:space="0"/>
              <w:right w:val="nil"/>
            </w:tcBorders>
            <w:shd w:val="clear" w:color="auto" w:fill="auto"/>
            <w:vAlign w:val="center"/>
          </w:tcPr>
          <w:p w14:paraId="146DF4CC">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B 商务评审标准</w:t>
            </w:r>
          </w:p>
        </w:tc>
      </w:tr>
      <w:tr w14:paraId="77B3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30C9830">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序号</w:t>
            </w:r>
          </w:p>
        </w:tc>
        <w:tc>
          <w:tcPr>
            <w:tcW w:w="9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6C5708">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评审项目</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024BAD31">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分值</w:t>
            </w: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C61C22">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评审标准</w:t>
            </w:r>
          </w:p>
        </w:tc>
      </w:tr>
      <w:tr w14:paraId="0201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205259D9">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一</w:t>
            </w:r>
          </w:p>
        </w:tc>
        <w:tc>
          <w:tcPr>
            <w:tcW w:w="9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561699">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供应商类似</w:t>
            </w:r>
          </w:p>
          <w:p w14:paraId="2474F828">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业绩</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5E886F2F">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15分</w:t>
            </w: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D9309E">
            <w:pPr>
              <w:keepNext w:val="0"/>
              <w:keepLines w:val="0"/>
              <w:widowControl w:val="0"/>
              <w:suppressLineNumbers w:val="0"/>
              <w:spacing w:before="0" w:beforeAutospacing="0" w:after="0" w:afterAutospacing="0" w:line="264" w:lineRule="auto"/>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2022年7月1日至2025年6月30日，供应商具有承办类似项目活动经验，每个合同得1.5分，本项满分15分。</w:t>
            </w:r>
          </w:p>
          <w:p w14:paraId="4ECCCF37">
            <w:pPr>
              <w:keepNext w:val="0"/>
              <w:keepLines w:val="0"/>
              <w:widowControl w:val="0"/>
              <w:suppressLineNumbers w:val="0"/>
              <w:spacing w:before="0" w:beforeAutospacing="0" w:after="0" w:afterAutospacing="0" w:line="264"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 xml:space="preserve">提供类似项目业绩合同关键页复印件或其他相关证明材料复印件并加盖公章，日期以合同签订日期为准，否则不得分。   </w:t>
            </w:r>
          </w:p>
        </w:tc>
      </w:tr>
      <w:tr w14:paraId="349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6"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33E058DF">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二</w:t>
            </w:r>
          </w:p>
        </w:tc>
        <w:tc>
          <w:tcPr>
            <w:tcW w:w="98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D7B9A">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专业服务团队人员配备</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2AF1BF06">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10分</w:t>
            </w: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921A3B">
            <w:pPr>
              <w:keepNext w:val="0"/>
              <w:keepLines w:val="0"/>
              <w:widowControl w:val="0"/>
              <w:suppressLineNumbers w:val="0"/>
              <w:spacing w:before="0" w:beforeAutospacing="0" w:after="0" w:afterAutospacing="0" w:line="273"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专业服务团队：</w:t>
            </w:r>
          </w:p>
          <w:p w14:paraId="121C769E">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strike/>
                <w:dstrike w:val="0"/>
                <w:kern w:val="2"/>
                <w:sz w:val="32"/>
                <w:szCs w:val="32"/>
              </w:rPr>
            </w:pPr>
            <w:r>
              <w:rPr>
                <w:rFonts w:hint="eastAsia" w:ascii="仿宋_GB2312" w:hAnsi="Calibri" w:eastAsia="仿宋_GB2312" w:cs="仿宋_GB2312"/>
                <w:kern w:val="2"/>
                <w:sz w:val="32"/>
                <w:szCs w:val="32"/>
                <w:lang w:val="en-US" w:eastAsia="zh-CN" w:bidi="ar"/>
              </w:rPr>
              <w:t>供应商拟派本项目专业服务团队，专业、数量、结构配备合理，包括且不少于以下人员及岗位：总策划1名、摄像及技术人员3名、助理2名。</w:t>
            </w:r>
          </w:p>
          <w:p w14:paraId="7AACA5ED">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根据以上人员人数、专业等情况综合评分，符合岗位需求的为优秀得7-10分，基本符合岗位需求的为良好得3-6分，不符合岗位需求的为差得0-2分；同时配备每缺一个岗位扣2分，扣完为止。</w:t>
            </w:r>
          </w:p>
          <w:p w14:paraId="15C97C8A">
            <w:pPr>
              <w:keepNext w:val="0"/>
              <w:keepLines w:val="0"/>
              <w:widowControl w:val="0"/>
              <w:suppressLineNumbers w:val="0"/>
              <w:spacing w:before="0" w:beforeAutospacing="0" w:after="0" w:afterAutospacing="0" w:line="273"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需提供上述人员名单及承诺函（证明其为供应商具有劳动关系）并加盖公章，</w:t>
            </w:r>
            <w:r>
              <w:rPr>
                <w:rFonts w:hint="default" w:ascii="CESI仿宋-GB2312" w:hAnsi="CESI仿宋-GB2312" w:eastAsia="CESI仿宋-GB2312" w:cs="CESI仿宋-GB2312"/>
                <w:kern w:val="2"/>
                <w:sz w:val="32"/>
                <w:szCs w:val="32"/>
                <w:lang w:val="en-US" w:eastAsia="zh-CN" w:bidi="ar"/>
              </w:rPr>
              <w:t>承诺函格式自拟，供应商承诺函不实的，将依照有关法律法规追究法律责任</w:t>
            </w:r>
            <w:r>
              <w:rPr>
                <w:rFonts w:hint="eastAsia" w:ascii="仿宋_GB2312" w:hAnsi="Calibri" w:eastAsia="仿宋_GB2312" w:cs="仿宋_GB2312"/>
                <w:kern w:val="2"/>
                <w:sz w:val="32"/>
                <w:szCs w:val="32"/>
                <w:lang w:val="en-US" w:eastAsia="zh-CN" w:bidi="ar"/>
              </w:rPr>
              <w:t>；提供上述人员专业证书、资格证等相关材料。</w:t>
            </w:r>
          </w:p>
        </w:tc>
      </w:tr>
      <w:tr w14:paraId="748F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1" w:hRule="atLeast"/>
        </w:trPr>
        <w:tc>
          <w:tcPr>
            <w:tcW w:w="5000" w:type="pct"/>
            <w:gridSpan w:val="7"/>
            <w:tcBorders>
              <w:top w:val="nil"/>
              <w:left w:val="nil"/>
              <w:bottom w:val="single" w:color="auto" w:sz="4" w:space="0"/>
              <w:right w:val="nil"/>
            </w:tcBorders>
            <w:shd w:val="clear" w:color="auto" w:fill="auto"/>
            <w:vAlign w:val="center"/>
          </w:tcPr>
          <w:p w14:paraId="23978E60">
            <w:pPr>
              <w:keepNext w:val="0"/>
              <w:keepLines w:val="0"/>
              <w:widowControl w:val="0"/>
              <w:suppressLineNumbers w:val="0"/>
              <w:spacing w:before="0" w:beforeAutospacing="0" w:after="0" w:afterAutospacing="0" w:line="273" w:lineRule="auto"/>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b/>
                <w:bCs/>
                <w:kern w:val="2"/>
                <w:sz w:val="32"/>
                <w:szCs w:val="32"/>
                <w:lang w:val="en-US" w:eastAsia="zh-CN" w:bidi="ar"/>
              </w:rPr>
              <w:t>C 技术评审标准</w:t>
            </w:r>
          </w:p>
        </w:tc>
      </w:tr>
      <w:tr w14:paraId="2D6D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6" w:hRule="atLeast"/>
        </w:trPr>
        <w:tc>
          <w:tcPr>
            <w:tcW w:w="444" w:type="pct"/>
            <w:vMerge w:val="restart"/>
            <w:tcBorders>
              <w:top w:val="nil"/>
              <w:left w:val="single" w:color="auto" w:sz="4" w:space="0"/>
              <w:bottom w:val="single" w:color="auto" w:sz="4" w:space="0"/>
              <w:right w:val="single" w:color="auto" w:sz="4" w:space="0"/>
            </w:tcBorders>
            <w:shd w:val="clear" w:color="auto" w:fill="auto"/>
            <w:vAlign w:val="center"/>
          </w:tcPr>
          <w:p w14:paraId="6B84F563">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三</w:t>
            </w:r>
          </w:p>
        </w:tc>
        <w:tc>
          <w:tcPr>
            <w:tcW w:w="98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1DE83">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sz w:val="32"/>
                <w:szCs w:val="32"/>
              </w:rPr>
              <w:t>项目策划实施方案</w:t>
            </w:r>
          </w:p>
        </w:tc>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8D2B1C">
            <w:pPr>
              <w:pStyle w:val="7"/>
              <w:widowControl/>
              <w:jc w:val="center"/>
              <w:rPr>
                <w:rFonts w:hint="eastAsia" w:ascii="仿宋_GB2312" w:eastAsia="仿宋_GB2312" w:cs="仿宋_GB2312"/>
                <w:b/>
                <w:bCs w:val="0"/>
                <w:sz w:val="32"/>
                <w:szCs w:val="32"/>
              </w:rPr>
            </w:pPr>
            <w:r>
              <w:rPr>
                <w:rFonts w:hint="eastAsia" w:ascii="仿宋_GB2312" w:eastAsia="仿宋_GB2312" w:cs="仿宋_GB2312"/>
                <w:b/>
                <w:bCs w:val="0"/>
                <w:sz w:val="32"/>
                <w:szCs w:val="32"/>
              </w:rPr>
              <w:t>55分</w:t>
            </w: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3B5C144E">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（一）根据供应商提供的总体策划方案及组织措施进行综合评价：（满分10分）</w:t>
            </w:r>
          </w:p>
          <w:p w14:paraId="2AC0B5BA">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①总体策划方案清晰、合理、全面、实用、创新，且具有重点针对性的为优秀得7-10分；</w:t>
            </w:r>
          </w:p>
          <w:p w14:paraId="400C2BE8">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②总体策划方案完整，但不具备针对性的为良好得3-6分；</w:t>
            </w:r>
          </w:p>
          <w:p w14:paraId="1491DD77">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r>
              <w:rPr>
                <w:rFonts w:hint="eastAsia" w:ascii="仿宋_GB2312" w:hAnsi="Calibri" w:eastAsia="仿宋_GB2312" w:cs="仿宋_GB2312"/>
                <w:kern w:val="0"/>
                <w:sz w:val="32"/>
                <w:szCs w:val="32"/>
                <w:lang w:val="en-US" w:eastAsia="zh-CN" w:bidi="ar"/>
              </w:rPr>
              <w:t>③总体策划方案不完整或存在重大缺陷的为差得0-2分。</w:t>
            </w:r>
          </w:p>
        </w:tc>
      </w:tr>
      <w:tr w14:paraId="535A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 w:hRule="atLeast"/>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14:paraId="4A6E5F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5AE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626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28F9D1D2">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（二）根据供应商提供的舆情应急保障方案进行综合评价：（满分10分）</w:t>
            </w:r>
          </w:p>
          <w:p w14:paraId="5D0922A1">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根据《用户需求书》中活动拟定应急保障方案，方案内容包括实施全过程中舆情突发状况分析及应急处置方案。</w:t>
            </w:r>
          </w:p>
          <w:p w14:paraId="6840172C">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①方案全面，充分考虑各项活动全过程可能发生的突发状况，提出重点发生情境及有效应急保障措施的为优秀得7-10分；</w:t>
            </w:r>
          </w:p>
          <w:p w14:paraId="001A57A2">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②方案比较全面，针对各项活动提出基本的应急保障措施的为良好得3-6分；</w:t>
            </w:r>
          </w:p>
          <w:p w14:paraId="2E26584F">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③方案存在缺陷，未针对各项活动可能发生的突发状况进行分析并提出有效措施，可实施性不强的为差得0-2分。</w:t>
            </w:r>
          </w:p>
        </w:tc>
      </w:tr>
      <w:tr w14:paraId="363C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14:paraId="20590B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3B7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260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0C8386D1">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（三）根据供应商提供的宣传推广实施方案及措施进行综合评价：（满分30分）</w:t>
            </w:r>
          </w:p>
          <w:p w14:paraId="5A2D534A">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2"/>
                <w:sz w:val="32"/>
                <w:szCs w:val="32"/>
                <w:lang w:val="en-US" w:eastAsia="zh-CN" w:bidi="ar"/>
              </w:rPr>
              <w:t>（1）</w:t>
            </w:r>
            <w:r>
              <w:rPr>
                <w:rFonts w:hint="eastAsia" w:ascii="仿宋_GB2312" w:hAnsi="Calibri" w:eastAsia="仿宋_GB2312" w:cs="仿宋_GB2312"/>
                <w:kern w:val="0"/>
                <w:sz w:val="32"/>
                <w:szCs w:val="32"/>
                <w:lang w:val="en-US" w:eastAsia="zh-CN" w:bidi="ar"/>
              </w:rPr>
              <w:t>宣传推广实施</w:t>
            </w:r>
            <w:r>
              <w:rPr>
                <w:rFonts w:hint="eastAsia" w:ascii="仿宋_GB2312" w:hAnsi="Calibri" w:eastAsia="仿宋_GB2312" w:cs="仿宋_GB2312"/>
                <w:kern w:val="2"/>
                <w:sz w:val="32"/>
                <w:szCs w:val="32"/>
                <w:lang w:val="en-US" w:eastAsia="zh-CN" w:bidi="ar"/>
              </w:rPr>
              <w:t>平台：（满分10分）</w:t>
            </w:r>
          </w:p>
          <w:p w14:paraId="7F3D6EB3">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①供应商使用自有宣传推广服务平台宣传本项目的每个得2分；</w:t>
            </w:r>
          </w:p>
          <w:p w14:paraId="2228EECB">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②供应商使用合作协议方式由第三方平台宣传本次系列活动的每个得1分，最高得10分；本项满分10分。</w:t>
            </w:r>
          </w:p>
          <w:p w14:paraId="33A9C584">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自有媒体平台的证明材料、宣传平台合作协议复印件加盖公章；推广服务平台指具有独立法人资格的宣传媒体。</w:t>
            </w:r>
          </w:p>
          <w:p w14:paraId="3F87503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0"/>
                <w:sz w:val="32"/>
                <w:szCs w:val="32"/>
                <w:lang w:val="en-US" w:eastAsia="zh-CN" w:bidi="ar"/>
              </w:rPr>
              <w:t>（2）宣传推广实施方案：</w:t>
            </w:r>
            <w:r>
              <w:rPr>
                <w:rFonts w:hint="eastAsia" w:ascii="仿宋_GB2312" w:hAnsi="Calibri" w:eastAsia="仿宋_GB2312" w:cs="仿宋_GB2312"/>
                <w:kern w:val="2"/>
                <w:sz w:val="32"/>
                <w:szCs w:val="32"/>
                <w:lang w:val="en-US" w:eastAsia="zh-CN" w:bidi="ar"/>
              </w:rPr>
              <w:t>（满分20分）</w:t>
            </w:r>
          </w:p>
          <w:p w14:paraId="1C47F308">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①方案详尽，媒体平台资源丰富，宣传力度强，影响面广，自有或合作的媒体数量和发稿数量优于《任务清单》中要求为优秀得15-20分；</w:t>
            </w:r>
          </w:p>
          <w:p w14:paraId="30CD84DA">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②方案比较全面，媒体平台统筹能力一般，自有或合作的媒体数量和发稿数量满足《活动任务清单》中要求为良好得10-14分；</w:t>
            </w:r>
          </w:p>
          <w:p w14:paraId="177B78D2">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③方案具有明显缺陷，媒体统筹能力不能满足项目需要的为差得0-9分；</w:t>
            </w:r>
          </w:p>
        </w:tc>
      </w:tr>
      <w:tr w14:paraId="05E2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2" w:hRule="atLeast"/>
        </w:trPr>
        <w:tc>
          <w:tcPr>
            <w:tcW w:w="444" w:type="pct"/>
            <w:vMerge w:val="continue"/>
            <w:tcBorders>
              <w:top w:val="nil"/>
              <w:left w:val="single" w:color="auto" w:sz="4" w:space="0"/>
              <w:bottom w:val="single" w:color="auto" w:sz="4" w:space="0"/>
              <w:right w:val="single" w:color="auto" w:sz="4" w:space="0"/>
            </w:tcBorders>
            <w:shd w:val="clear" w:color="auto" w:fill="auto"/>
            <w:vAlign w:val="center"/>
          </w:tcPr>
          <w:p w14:paraId="70C499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439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4BF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7"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13738659">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（四）根据供应商提供的针对本项目的各项服务承诺进行综合评价：（满分5分）</w:t>
            </w:r>
          </w:p>
          <w:p w14:paraId="7D58A766">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①服务承诺完整、详细，并提供佐证或说明材料证明其承诺具有可实施性的为优秀得4-5分；</w:t>
            </w:r>
          </w:p>
          <w:p w14:paraId="29F80AF0">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②服务承诺完整、有效，未提供佐证或说明证明其承诺具有可实施性的为良好得2-3分；</w:t>
            </w:r>
          </w:p>
          <w:p w14:paraId="7566B6A4">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32"/>
                <w:szCs w:val="32"/>
              </w:rPr>
            </w:pPr>
            <w:r>
              <w:rPr>
                <w:rFonts w:hint="eastAsia" w:ascii="仿宋_GB2312" w:eastAsia="仿宋_GB2312" w:cs="仿宋_GB2312"/>
                <w:kern w:val="0"/>
                <w:sz w:val="32"/>
                <w:szCs w:val="32"/>
              </w:rPr>
              <w:t>③未提供服务承诺或服务承诺存在缺陷的为差得0-1分。</w:t>
            </w:r>
          </w:p>
          <w:p w14:paraId="2B1F7C92">
            <w:pPr>
              <w:pStyle w:val="4"/>
              <w:widowControl/>
              <w:adjustRightInd w:val="0"/>
              <w:snapToGrid w:val="0"/>
              <w:spacing w:before="0" w:beforeAutospacing="1" w:after="0" w:afterLines="0" w:afterAutospacing="0" w:line="500" w:lineRule="exact"/>
              <w:ind w:left="0" w:leftChars="0" w:right="0" w:firstLine="0" w:firstLineChars="0"/>
              <w:rPr>
                <w:rFonts w:hint="eastAsia" w:ascii="仿宋_GB2312" w:eastAsia="仿宋_GB2312" w:cs="仿宋_GB2312"/>
                <w:kern w:val="0"/>
                <w:sz w:val="21"/>
                <w:szCs w:val="21"/>
              </w:rPr>
            </w:pPr>
            <w:r>
              <w:rPr>
                <w:rFonts w:hint="eastAsia" w:ascii="仿宋_GB2312" w:eastAsia="仿宋_GB2312" w:cs="仿宋_GB2312"/>
                <w:b/>
                <w:bCs/>
                <w:kern w:val="0"/>
                <w:sz w:val="32"/>
                <w:szCs w:val="32"/>
              </w:rPr>
              <w:t>证明材料：</w:t>
            </w:r>
            <w:r>
              <w:rPr>
                <w:rFonts w:hint="eastAsia" w:ascii="仿宋_GB2312" w:eastAsia="仿宋_GB2312" w:cs="仿宋_GB2312"/>
                <w:kern w:val="0"/>
                <w:sz w:val="32"/>
                <w:szCs w:val="32"/>
              </w:rPr>
              <w:t>1.履约服务承诺；2.廉洁承诺；3.响应用户需求的承诺；4.前三年内，在经营活动中没有重大违法记录（注册成立时间不足三年的，从注册时间起算）的承诺；5.供应商认为有必要提供的其他承诺或证明材料。以上内容须提供承诺函，格式自拟。供应商承诺函不实的，将依照有关法律法规追究法律责任。</w:t>
            </w:r>
          </w:p>
        </w:tc>
      </w:tr>
    </w:tbl>
    <w:p w14:paraId="0DD8B9DA">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33EB793F">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bookmarkStart w:id="0" w:name="_GoBack"/>
      <w:bookmarkEnd w:id="0"/>
    </w:p>
    <w:sectPr>
      <w:footerReference r:id="rId3" w:type="default"/>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43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0B7F1">
                          <w:pPr>
                            <w:pStyle w:val="3"/>
                            <w:rPr>
                              <w:rFonts w:hint="eastAsia" w:eastAsia="宋体"/>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A80B7F1">
                    <w:pPr>
                      <w:pStyle w:val="3"/>
                      <w:rPr>
                        <w:rFonts w:hint="eastAsia" w:eastAsia="宋体"/>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345C5"/>
    <w:rsid w:val="6683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2"/>
    <w:basedOn w:val="1"/>
    <w:next w:val="1"/>
    <w:semiHidden/>
    <w:unhideWhenUsed/>
    <w:qFormat/>
    <w:uiPriority w:val="0"/>
    <w:pPr>
      <w:keepNext w:val="0"/>
      <w:keepLines w:val="0"/>
      <w:widowControl w:val="0"/>
      <w:suppressLineNumbers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宋体" w:cs="Times New Roman"/>
      <w:kern w:val="0"/>
      <w:sz w:val="21"/>
      <w:szCs w:val="21"/>
      <w:lang w:val="en-US" w:eastAsia="zh-CN" w:bidi="ar"/>
    </w:rPr>
  </w:style>
  <w:style w:type="paragraph" w:customStyle="1" w:styleId="7">
    <w:name w:val="正文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Calibri"/>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2025-07-28T01:09:00Z</dcterms:created>
  <dc:creator>一呀一呀哟</dc:creator>
  <cp:lastModifiedBy>一呀一呀哟</cp:lastModifiedBy>
  <dcterms:modified xsi:type="dcterms:W3CDTF">2025-07-28T01:09:58Z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5D0D656FA4284F37A5268BDF6B3E8762_11</vt:lpwstr>
  </property>
  <property fmtid="{D5CDD505-2E9C-101B-9397-08002B2CF9AE}" pid="4" name="KSOTemplateDocerSaveRecord">
    <vt:lpwstr>eyJoZGlkIjoiZjg3MWU3MjFlMzY2ZGQ5MmE2MjZkMzZlOTRlMjg0ZjEiLCJ1c2VySWQiOiIxMzExMjMyODY3In0=</vt:lpwstr>
  </property>
</Properties>
</file>