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0" w:leftChars="0" w:firstLine="0" w:firstLineChars="0"/>
        <w:jc w:val="left"/>
        <w:rPr>
          <w:rFonts w:hint="eastAsia" w:ascii="宋体" w:hAnsi="宋体" w:eastAsia="宋体" w:cs="宋体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-6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color w:val="000000"/>
          <w:spacing w:val="-6"/>
          <w:sz w:val="28"/>
          <w:szCs w:val="28"/>
          <w:lang w:val="en-US" w:eastAsia="zh-CN"/>
        </w:rPr>
        <w:t>1</w:t>
      </w:r>
    </w:p>
    <w:p>
      <w:pPr>
        <w:pStyle w:val="7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海南省县域商业体系建设分型县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定型标准（试行）</w:t>
      </w:r>
    </w:p>
    <w:p>
      <w:pPr>
        <w:adjustRightInd w:val="0"/>
        <w:snapToGrid w:val="0"/>
        <w:spacing w:line="240" w:lineRule="auto"/>
        <w:ind w:left="0" w:leftChars="0" w:firstLine="0" w:firstLineChars="0"/>
        <w:jc w:val="center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根据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《商务部等15部门办公厅（室）关于印发&lt;县域商业建设指南&gt;的通知》（商办流通函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>〔202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>〕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322号）文件要求，结合海南省实际，将我省县（市、区）县域商业建设类型划分为未达基本型、基本型、提升型、增强型4种类型，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县域商业现状定级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用“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县城综合商贸服务中心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县级物流配送中心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eastAsia="zh-CN"/>
        </w:rPr>
        <w:t>、乡镇商贸中心、村级便民商店、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乡村快递通达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eastAsia="zh-CN"/>
        </w:rPr>
        <w:t>率、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物流快递共同配送率、农村电商服务覆盖率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”7个指标衡量。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必须同时满足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7个指标要求才能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达标相应县域商业现状等级，只要有一个指标满足不了基本型县要求则定级为未达基本型县。</w:t>
      </w:r>
    </w:p>
    <w:p>
      <w:pPr>
        <w:adjustRightInd w:val="0"/>
        <w:snapToGrid w:val="0"/>
        <w:spacing w:line="240" w:lineRule="exact"/>
        <w:ind w:left="0" w:leftChars="0" w:firstLine="480" w:firstLineChars="20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2313"/>
        <w:gridCol w:w="2200"/>
        <w:gridCol w:w="2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665" w:type="dxa"/>
            <w:noWrap w:val="0"/>
            <w:vAlign w:val="bottom"/>
            <mc:AlternateContent>
              <mc:Choice Requires="wpsCustomData">
                <wpsCustomData:diagonals>
                  <wpsCustomData:diagonal from="10000" to="33600">
                    <wpsCustomData:border w:val="single" w:color="auto" w:sz="4" w:space="0"/>
                  </wpsCustomData:diagonal>
                  <wpsCustomData:diagonal from="10000" to="266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56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 w:val="0"/>
              <w:spacing w:line="240" w:lineRule="auto"/>
              <w:jc w:val="both"/>
              <w:textAlignment w:val="baseline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指标</w:t>
            </w:r>
          </w:p>
          <w:p>
            <w:pPr>
              <w:snapToGrid w:val="0"/>
              <w:spacing w:line="240" w:lineRule="auto"/>
              <w:jc w:val="both"/>
              <w:textAlignment w:val="baseline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要求</w:t>
            </w:r>
          </w:p>
          <w:p>
            <w:pPr>
              <w:spacing w:line="56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类别</w:t>
            </w:r>
          </w:p>
        </w:tc>
        <w:tc>
          <w:tcPr>
            <w:tcW w:w="2313" w:type="dxa"/>
            <w:noWrap w:val="0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基本型县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增强型县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提升型县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2665" w:type="dxa"/>
            <w:noWrap w:val="0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县城综合商贸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服务中心</w:t>
            </w:r>
          </w:p>
        </w:tc>
        <w:tc>
          <w:tcPr>
            <w:tcW w:w="231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县域内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经营面积10000-20000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县城综合商贸服务中心≥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1个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县域内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经营面积20000-30000㎡的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县城综合商贸服务中心≥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1个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县域内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经营面积在30000㎡以上的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县城综合商贸服务中心≥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1个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65" w:type="dxa"/>
            <w:noWrap w:val="0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县级物流配送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中心</w:t>
            </w:r>
          </w:p>
        </w:tc>
        <w:tc>
          <w:tcPr>
            <w:tcW w:w="231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县域内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占地面积2000-4000㎡的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县级物流配送中心≥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1个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2.对有条件的乡镇、村物流或快件吞吐总量占比20%以上，快递配送从县到村不超过3日。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县域内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占地面积4000-8000㎡的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县级物流配送中心≥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1个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2.对有条件的乡镇、村物流或快件吞吐总量占比30%以上，快递配送从县到村不超过2日。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县域内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占地面积在8000㎡以上的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县级物流配送中心≥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1个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2.对有条件的乡镇、村物流或快件吞吐总量占比40%以上，快递配送从县到村不超过2日。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  <w:jc w:val="center"/>
        </w:trPr>
        <w:tc>
          <w:tcPr>
            <w:tcW w:w="2665" w:type="dxa"/>
            <w:noWrap w:val="0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乡镇商贸中心</w:t>
            </w:r>
          </w:p>
        </w:tc>
        <w:tc>
          <w:tcPr>
            <w:tcW w:w="231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1.具备条件的乡镇有单体商超经营面积500-1000㎡的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乡镇商贸中心≥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2.人口低于10000人的乡镇商业集聚区，自然形成的商业街、商圈长度不低于400米。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1.具备条件的乡镇有经营面积1000-2000㎡的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乡镇商贸中心≥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2.人口低于10000人的乡镇商业集聚区，自然形成的商业街、商圈长度不低于1000米。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1.具备条件的乡镇有经营面积在1500㎡以上的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乡镇商贸中心≥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2.人口低于10000人的乡镇商业集聚区，自然形成的商业街、商圈长度不低于1500米。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  <w:jc w:val="center"/>
        </w:trPr>
        <w:tc>
          <w:tcPr>
            <w:tcW w:w="2665" w:type="dxa"/>
            <w:noWrap w:val="0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村级便民商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店</w:t>
            </w:r>
          </w:p>
        </w:tc>
        <w:tc>
          <w:tcPr>
            <w:tcW w:w="231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具备条件的行政村有经营面积不低于30㎡，商品单品数量(SKU)不低于100种的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村级便民商店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≥1。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具备条件的行政村有经营面积在30-100㎡左右，商品单品数量(SKU)不低于300种的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村级便民商店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≥1。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具备条件的行政村有经营面积在100㎡以上，商品单品数量(SKU)不低于500种的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村级便民商店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≥1。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6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乡村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快递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通达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率</w:t>
            </w:r>
          </w:p>
        </w:tc>
        <w:tc>
          <w:tcPr>
            <w:tcW w:w="2313" w:type="dxa"/>
            <w:noWrap w:val="0"/>
            <w:vAlign w:val="center"/>
          </w:tcPr>
          <w:p>
            <w:pPr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行政村快递进村覆盖率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0%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行政村快递进村覆盖率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0%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行政村快递进村覆盖率达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exact"/>
          <w:jc w:val="center"/>
        </w:trPr>
        <w:tc>
          <w:tcPr>
            <w:tcW w:w="2665" w:type="dxa"/>
            <w:noWrap w:val="0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物流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快递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共同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配送率</w:t>
            </w:r>
          </w:p>
        </w:tc>
        <w:tc>
          <w:tcPr>
            <w:tcW w:w="2313" w:type="dxa"/>
            <w:noWrap w:val="0"/>
            <w:vAlign w:val="center"/>
          </w:tcPr>
          <w:p>
            <w:pPr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具备条件的乡镇、村20%以上的物流快递实现统一分拣、配送。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具备条件的乡镇、村30%以上的物流快递实现统一分拣、配送。</w:t>
            </w:r>
          </w:p>
          <w:p>
            <w:pPr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87" w:type="dxa"/>
            <w:noWrap w:val="0"/>
            <w:vAlign w:val="center"/>
          </w:tcPr>
          <w:p>
            <w:pPr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具备条件的乡镇、村40%以上的物流快递实现统一分拣、配送。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exact"/>
          <w:jc w:val="center"/>
        </w:trPr>
        <w:tc>
          <w:tcPr>
            <w:tcW w:w="26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农村电子商务服务覆盖率</w:t>
            </w:r>
          </w:p>
        </w:tc>
        <w:tc>
          <w:tcPr>
            <w:tcW w:w="2313" w:type="dxa"/>
            <w:noWrap w:val="0"/>
            <w:vAlign w:val="center"/>
          </w:tcPr>
          <w:p>
            <w:pPr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具备条件的行政村农村电商服务覆盖率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0%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具备条件的行政村农村电商服务覆盖率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0%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具备条件的行政村农村电商服务覆盖率10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注：1.具备条件的乡镇：乡镇人口数量≥10000人；具备条件的行政村：行政村人口数量≥1000人。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2.海口市、三亚市在已有的县级物流配送中心基础上增强和提升服务功能，原则上不要求每个区都建有一个县级物流配送中心，只需物流配送覆盖城区和主要乡镇行政村。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3MWU3MjFlMzY2ZGQ5MmE2MjZkMzZlOTRlMjg0ZjEifQ=="/>
  </w:docVars>
  <w:rsids>
    <w:rsidRoot w:val="4B703165"/>
    <w:rsid w:val="4B70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rFonts w:ascii="Calibri" w:hAnsi="Calibri" w:eastAsia="宋体" w:cs="Times New Roman"/>
      <w:szCs w:val="24"/>
    </w:rPr>
  </w:style>
  <w:style w:type="paragraph" w:styleId="3">
    <w:name w:val="Body Text Indent"/>
    <w:basedOn w:val="2"/>
    <w:unhideWhenUsed/>
    <w:qFormat/>
    <w:uiPriority w:val="99"/>
    <w:pPr>
      <w:spacing w:after="120"/>
      <w:ind w:left="420" w:leftChars="200" w:firstLineChars="200"/>
    </w:pPr>
  </w:style>
  <w:style w:type="paragraph" w:styleId="4">
    <w:name w:val="Body Text First Indent 2"/>
    <w:basedOn w:val="3"/>
    <w:unhideWhenUsed/>
    <w:qFormat/>
    <w:uiPriority w:val="99"/>
    <w:pPr>
      <w:adjustRightInd w:val="0"/>
      <w:snapToGrid w:val="0"/>
      <w:spacing w:after="0" w:line="560" w:lineRule="exact"/>
      <w:ind w:left="0" w:leftChars="0" w:firstLine="420" w:firstLineChars="200"/>
    </w:pPr>
    <w:rPr>
      <w:rFonts w:hint="eastAsia" w:ascii="仿宋_GB2312" w:eastAsia="仿宋_GB2312" w:cs="Times New Roman"/>
      <w:sz w:val="30"/>
      <w:szCs w:val="30"/>
    </w:rPr>
  </w:style>
  <w:style w:type="paragraph" w:customStyle="1" w:styleId="7">
    <w:name w:val="Default"/>
    <w:next w:val="8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8">
    <w:name w:val="大标题"/>
    <w:basedOn w:val="1"/>
    <w:next w:val="4"/>
    <w:qFormat/>
    <w:uiPriority w:val="0"/>
    <w:pPr>
      <w:jc w:val="center"/>
    </w:pPr>
    <w:rPr>
      <w:rFonts w:ascii="Arial" w:hAnsi="Arial"/>
      <w:b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1198</Words>
  <Characters>1358</Characters>
  <Lines>0</Lines>
  <Paragraphs>0</Paragraphs>
  <TotalTime>2</TotalTime>
  <ScaleCrop>false</ScaleCrop>
  <LinksUpToDate>false</LinksUpToDate>
  <CharactersWithSpaces>1358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2023-11-29T07:23:00Z</dcterms:created>
  <dc:creator>Sherman~</dc:creator>
  <cp:lastModifiedBy>Sherman~</cp:lastModifiedBy>
  <dcterms:modified xsi:type="dcterms:W3CDTF">2023-11-29T07:51:26Z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167955A4D0924BFD86E64D94AE4F7804_11</vt:lpwstr>
  </property>
</Properties>
</file>