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val="en-US" w:eastAsia="zh-CN"/>
        </w:rPr>
        <w:t>合作调研及试点企业名单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海南陈皮网网络科技有限公司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四川天府大弘科技有限公司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御露堂健康科技（北京）有限公司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美舍雅阁（海南）科技有限公司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上海海樊科技有限公司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力方数字科技集团有限公司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杭州瑞欧科技有限公司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江苏中商碳素研究院有限公司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天道技术产业研究院（海南）有限公司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杭州映兔科技有限公司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上海东锦企业管理咨询股份有限公司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甘李药业股份有限公司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上海邓白氏商业信息咨询有限公司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海南洋浦卓志供应链管理有限公司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深圳市辰飞动漫创意有限公司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海南新型国际贸易综合服务平台有限公司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美国柯特思律师事务所驻北京代表处</w:t>
      </w:r>
    </w:p>
    <w:p/>
    <w:sectPr>
      <w:pgSz w:w="11906" w:h="16838"/>
      <w:pgMar w:top="2098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F78AA"/>
    <w:rsid w:val="7B0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2023-01-09T07:34:00Z</dcterms:created>
  <dc:creator>未知</dc:creator>
  <cp:lastModifiedBy>未知</cp:lastModifiedBy>
  <dcterms:modified xsi:type="dcterms:W3CDTF">2023-01-09T07:34:26Z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2E4606FA016B493AB2A2D362AB75684C</vt:lpwstr>
  </property>
</Properties>
</file>